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98D19" w14:textId="77777777" w:rsidR="00AA324E" w:rsidRPr="00C30DE1" w:rsidRDefault="00AA324E"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3E6CAA8" w14:textId="77777777" w:rsidR="00AA324E" w:rsidRPr="00C30DE1" w:rsidRDefault="00AA324E"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6586283A"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color w:val="000000" w:themeColor="text1"/>
          <w:sz w:val="32"/>
          <w:szCs w:val="32"/>
        </w:rPr>
      </w:pPr>
    </w:p>
    <w:p w14:paraId="66C2379F"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43DCC6F2"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NOTICE NO. SPB-002-26</w:t>
      </w:r>
    </w:p>
    <w:p w14:paraId="07C9193E"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48DA2582"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 xml:space="preserve">CONSULTATION ON THE REVISIONS TO THE </w:t>
      </w:r>
      <w:r w:rsidRPr="00C30DE1">
        <w:rPr>
          <w:b/>
          <w:sz w:val="32"/>
          <w:szCs w:val="32"/>
        </w:rPr>
        <w:br/>
        <w:t>2500-2690 MHZ BAND PLAN</w:t>
      </w:r>
    </w:p>
    <w:p w14:paraId="73DDB8BA"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C04A2DF"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tabs>
          <w:tab w:val="left" w:pos="4111"/>
        </w:tabs>
        <w:spacing w:line="360" w:lineRule="auto"/>
        <w:contextualSpacing/>
        <w:jc w:val="center"/>
        <w:rPr>
          <w:rFonts w:cs="Arial"/>
          <w:b/>
          <w:sz w:val="32"/>
          <w:szCs w:val="32"/>
        </w:rPr>
      </w:pPr>
      <w:r w:rsidRPr="00C30DE1">
        <w:rPr>
          <w:rFonts w:cs="Arial"/>
          <w:b/>
          <w:sz w:val="32"/>
          <w:szCs w:val="32"/>
        </w:rPr>
        <w:t xml:space="preserve">PUBLISHED IN THE </w:t>
      </w:r>
      <w:r w:rsidRPr="00C30DE1">
        <w:rPr>
          <w:rFonts w:cs="Arial"/>
          <w:b/>
          <w:i/>
          <w:iCs/>
          <w:sz w:val="32"/>
          <w:szCs w:val="32"/>
        </w:rPr>
        <w:t>CANADA GAZETTE</w:t>
      </w:r>
      <w:r w:rsidRPr="00C30DE1">
        <w:rPr>
          <w:rFonts w:cs="Arial"/>
          <w:b/>
          <w:sz w:val="32"/>
          <w:szCs w:val="32"/>
        </w:rPr>
        <w:t xml:space="preserve">, </w:t>
      </w:r>
      <w:r w:rsidRPr="00C30DE1">
        <w:rPr>
          <w:rFonts w:cs="Arial"/>
          <w:b/>
          <w:i/>
          <w:iCs/>
          <w:sz w:val="32"/>
          <w:szCs w:val="32"/>
        </w:rPr>
        <w:t>PART I</w:t>
      </w:r>
    </w:p>
    <w:p w14:paraId="78E8FCAE"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ON 14 FEBRUARY 2026</w:t>
      </w:r>
    </w:p>
    <w:p w14:paraId="1D329DD8"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39DE1A0C"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89A0924"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REPLY COMMENTS</w:t>
      </w:r>
    </w:p>
    <w:p w14:paraId="685D6831"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OF</w:t>
      </w:r>
    </w:p>
    <w:p w14:paraId="62730FE4"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BELL MOBILITY INC.</w:t>
      </w:r>
    </w:p>
    <w:p w14:paraId="733593D6"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69757C2A"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5B29482C"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59C2B5EC"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DC9F4D4"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67C2378A" w14:textId="77777777" w:rsidR="00C30DE1" w:rsidRPr="00C30DE1" w:rsidRDefault="00C30DE1"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r w:rsidRPr="00C30DE1">
        <w:rPr>
          <w:b/>
          <w:sz w:val="32"/>
          <w:szCs w:val="32"/>
        </w:rPr>
        <w:t>28 APRIL 2026</w:t>
      </w:r>
    </w:p>
    <w:p w14:paraId="7AA1AC5B" w14:textId="77777777" w:rsidR="00AA324E" w:rsidRPr="00C30DE1" w:rsidRDefault="00AA324E" w:rsidP="00D6774C">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275E0A48" w14:textId="77777777" w:rsidR="00AA324E" w:rsidRDefault="00AA324E" w:rsidP="00D6774C">
      <w:pPr>
        <w:pBdr>
          <w:top w:val="single" w:sz="36" w:space="1" w:color="C0C0C0" w:shadow="1"/>
          <w:left w:val="single" w:sz="36" w:space="4" w:color="C0C0C0" w:shadow="1"/>
          <w:bottom w:val="single" w:sz="36" w:space="1" w:color="C0C0C0" w:shadow="1"/>
          <w:right w:val="single" w:sz="36" w:space="4" w:color="C0C0C0" w:shadow="1"/>
        </w:pBdr>
        <w:jc w:val="center"/>
        <w:rPr>
          <w:b/>
          <w:sz w:val="32"/>
          <w:szCs w:val="32"/>
        </w:rPr>
        <w:sectPr w:rsidR="00AA324E" w:rsidSect="009856E8">
          <w:headerReference w:type="first" r:id="rId8"/>
          <w:pgSz w:w="12240" w:h="15840" w:code="1"/>
          <w:pgMar w:top="1080" w:right="1440" w:bottom="1080" w:left="1440" w:header="720" w:footer="720" w:gutter="0"/>
          <w:cols w:space="708"/>
          <w:titlePg/>
          <w:docGrid w:linePitch="360"/>
        </w:sectPr>
      </w:pPr>
    </w:p>
    <w:p w14:paraId="5DBD434C" w14:textId="77777777" w:rsidR="00AA324E" w:rsidRPr="00A27F5C" w:rsidRDefault="00AA324E" w:rsidP="00D6774C">
      <w:pPr>
        <w:jc w:val="center"/>
        <w:rPr>
          <w:rFonts w:cs="Arial"/>
          <w:b/>
          <w:szCs w:val="22"/>
          <w:u w:val="single"/>
        </w:rPr>
      </w:pPr>
      <w:r w:rsidRPr="00A27F5C">
        <w:rPr>
          <w:rFonts w:cs="Arial"/>
          <w:b/>
          <w:szCs w:val="22"/>
          <w:u w:val="single"/>
        </w:rPr>
        <w:lastRenderedPageBreak/>
        <w:t>Table of Contents</w:t>
      </w:r>
    </w:p>
    <w:p w14:paraId="40CB9DF7" w14:textId="77777777" w:rsidR="00AA324E" w:rsidRDefault="00AA324E" w:rsidP="00D6774C">
      <w:pPr>
        <w:rPr>
          <w:rFonts w:cs="Arial"/>
          <w:szCs w:val="22"/>
        </w:rPr>
      </w:pPr>
    </w:p>
    <w:p w14:paraId="5E77E106" w14:textId="77777777" w:rsidR="00AA324E" w:rsidRPr="00A27F5C" w:rsidRDefault="00AA324E" w:rsidP="00D6774C">
      <w:pPr>
        <w:tabs>
          <w:tab w:val="right" w:pos="9360"/>
        </w:tabs>
        <w:jc w:val="right"/>
        <w:rPr>
          <w:rFonts w:cs="Arial"/>
          <w:b/>
          <w:szCs w:val="22"/>
          <w:u w:val="single"/>
        </w:rPr>
      </w:pPr>
      <w:r w:rsidRPr="00A27F5C">
        <w:rPr>
          <w:rFonts w:cs="Arial"/>
          <w:b/>
          <w:szCs w:val="22"/>
          <w:u w:val="single"/>
        </w:rPr>
        <w:t>Page</w:t>
      </w:r>
    </w:p>
    <w:p w14:paraId="38008A48" w14:textId="77777777" w:rsidR="00AA324E" w:rsidRPr="002E78BE" w:rsidRDefault="00AA324E" w:rsidP="00D6774C">
      <w:pPr>
        <w:rPr>
          <w:rFonts w:cs="Arial"/>
          <w:szCs w:val="22"/>
        </w:rPr>
      </w:pPr>
    </w:p>
    <w:p w14:paraId="3AEB8533" w14:textId="04E83A72" w:rsidR="00876A9B" w:rsidRDefault="00366057" w:rsidP="00876A9B">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r>
        <w:rPr>
          <w:rFonts w:cs="Arial"/>
          <w:szCs w:val="22"/>
        </w:rPr>
        <w:fldChar w:fldCharType="begin"/>
      </w:r>
      <w:r>
        <w:rPr>
          <w:rFonts w:cs="Arial"/>
          <w:szCs w:val="22"/>
        </w:rPr>
        <w:instrText xml:space="preserve"> TOC \o "1-3" \h \z \u </w:instrText>
      </w:r>
      <w:r>
        <w:rPr>
          <w:rFonts w:cs="Arial"/>
          <w:szCs w:val="22"/>
        </w:rPr>
        <w:fldChar w:fldCharType="separate"/>
      </w:r>
      <w:hyperlink w:anchor="_Toc228278080" w:history="1">
        <w:r w:rsidR="00876A9B" w:rsidRPr="00B540DB">
          <w:rPr>
            <w:rStyle w:val="Hyperlink"/>
            <w:noProof/>
          </w:rPr>
          <w:t>1.0</w:t>
        </w:r>
        <w:r w:rsidR="00876A9B">
          <w:rPr>
            <w:rFonts w:asciiTheme="minorHAnsi" w:eastAsiaTheme="minorEastAsia" w:hAnsiTheme="minorHAnsi" w:cstheme="minorBidi"/>
            <w:noProof/>
            <w:kern w:val="2"/>
            <w:sz w:val="24"/>
            <w:szCs w:val="24"/>
            <w14:ligatures w14:val="standardContextual"/>
          </w:rPr>
          <w:tab/>
        </w:r>
        <w:r w:rsidR="00876A9B" w:rsidRPr="00B540DB">
          <w:rPr>
            <w:rStyle w:val="Hyperlink"/>
            <w:noProof/>
          </w:rPr>
          <w:t>INTRODUCTION</w:t>
        </w:r>
        <w:r w:rsidR="00876A9B">
          <w:rPr>
            <w:noProof/>
            <w:webHidden/>
          </w:rPr>
          <w:tab/>
        </w:r>
        <w:r w:rsidR="00876A9B">
          <w:rPr>
            <w:noProof/>
            <w:webHidden/>
          </w:rPr>
          <w:fldChar w:fldCharType="begin"/>
        </w:r>
        <w:r w:rsidR="00876A9B">
          <w:rPr>
            <w:noProof/>
            <w:webHidden/>
          </w:rPr>
          <w:instrText xml:space="preserve"> PAGEREF _Toc228278080 \h </w:instrText>
        </w:r>
        <w:r w:rsidR="00876A9B">
          <w:rPr>
            <w:noProof/>
            <w:webHidden/>
          </w:rPr>
        </w:r>
        <w:r w:rsidR="00876A9B">
          <w:rPr>
            <w:noProof/>
            <w:webHidden/>
          </w:rPr>
          <w:fldChar w:fldCharType="separate"/>
        </w:r>
        <w:r w:rsidR="005B4AAB">
          <w:rPr>
            <w:noProof/>
            <w:webHidden/>
          </w:rPr>
          <w:t>3</w:t>
        </w:r>
        <w:r w:rsidR="00876A9B">
          <w:rPr>
            <w:noProof/>
            <w:webHidden/>
          </w:rPr>
          <w:fldChar w:fldCharType="end"/>
        </w:r>
      </w:hyperlink>
    </w:p>
    <w:p w14:paraId="7861B909" w14:textId="5D9BA6F5" w:rsidR="00876A9B" w:rsidRDefault="00876A9B" w:rsidP="00876A9B">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8278081" w:history="1">
        <w:r w:rsidRPr="00B540DB">
          <w:rPr>
            <w:rStyle w:val="Hyperlink"/>
            <w:noProof/>
          </w:rPr>
          <w:t>2.0</w:t>
        </w:r>
        <w:r>
          <w:rPr>
            <w:rFonts w:asciiTheme="minorHAnsi" w:eastAsiaTheme="minorEastAsia" w:hAnsiTheme="minorHAnsi" w:cstheme="minorBidi"/>
            <w:noProof/>
            <w:kern w:val="2"/>
            <w:sz w:val="24"/>
            <w:szCs w:val="24"/>
            <w14:ligatures w14:val="standardContextual"/>
          </w:rPr>
          <w:tab/>
        </w:r>
        <w:r w:rsidRPr="00B540DB">
          <w:rPr>
            <w:rStyle w:val="Hyperlink"/>
            <w:noProof/>
          </w:rPr>
          <w:t>NEW 2500 MHZ TDD BAND PLAN</w:t>
        </w:r>
        <w:r>
          <w:rPr>
            <w:noProof/>
            <w:webHidden/>
          </w:rPr>
          <w:tab/>
        </w:r>
        <w:r>
          <w:rPr>
            <w:noProof/>
            <w:webHidden/>
          </w:rPr>
          <w:fldChar w:fldCharType="begin"/>
        </w:r>
        <w:r>
          <w:rPr>
            <w:noProof/>
            <w:webHidden/>
          </w:rPr>
          <w:instrText xml:space="preserve"> PAGEREF _Toc228278081 \h </w:instrText>
        </w:r>
        <w:r>
          <w:rPr>
            <w:noProof/>
            <w:webHidden/>
          </w:rPr>
        </w:r>
        <w:r>
          <w:rPr>
            <w:noProof/>
            <w:webHidden/>
          </w:rPr>
          <w:fldChar w:fldCharType="separate"/>
        </w:r>
        <w:r w:rsidR="005B4AAB">
          <w:rPr>
            <w:noProof/>
            <w:webHidden/>
          </w:rPr>
          <w:t>4</w:t>
        </w:r>
        <w:r>
          <w:rPr>
            <w:noProof/>
            <w:webHidden/>
          </w:rPr>
          <w:fldChar w:fldCharType="end"/>
        </w:r>
      </w:hyperlink>
    </w:p>
    <w:p w14:paraId="5804815C" w14:textId="27C8D1C9" w:rsidR="00876A9B" w:rsidRDefault="00876A9B" w:rsidP="00876A9B">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8278082" w:history="1">
        <w:r w:rsidRPr="00B540DB">
          <w:rPr>
            <w:rStyle w:val="Hyperlink"/>
            <w:noProof/>
          </w:rPr>
          <w:t>3.0</w:t>
        </w:r>
        <w:r>
          <w:rPr>
            <w:rFonts w:asciiTheme="minorHAnsi" w:eastAsiaTheme="minorEastAsia" w:hAnsiTheme="minorHAnsi" w:cstheme="minorBidi"/>
            <w:noProof/>
            <w:kern w:val="2"/>
            <w:sz w:val="24"/>
            <w:szCs w:val="24"/>
            <w14:ligatures w14:val="standardContextual"/>
          </w:rPr>
          <w:tab/>
        </w:r>
        <w:r w:rsidRPr="00B540DB">
          <w:rPr>
            <w:rStyle w:val="Hyperlink"/>
            <w:noProof/>
          </w:rPr>
          <w:t>TIMING FOR THE TRANSITION</w:t>
        </w:r>
        <w:r>
          <w:rPr>
            <w:noProof/>
            <w:webHidden/>
          </w:rPr>
          <w:tab/>
        </w:r>
        <w:r>
          <w:rPr>
            <w:noProof/>
            <w:webHidden/>
          </w:rPr>
          <w:fldChar w:fldCharType="begin"/>
        </w:r>
        <w:r>
          <w:rPr>
            <w:noProof/>
            <w:webHidden/>
          </w:rPr>
          <w:instrText xml:space="preserve"> PAGEREF _Toc228278082 \h </w:instrText>
        </w:r>
        <w:r>
          <w:rPr>
            <w:noProof/>
            <w:webHidden/>
          </w:rPr>
        </w:r>
        <w:r>
          <w:rPr>
            <w:noProof/>
            <w:webHidden/>
          </w:rPr>
          <w:fldChar w:fldCharType="separate"/>
        </w:r>
        <w:r w:rsidR="005B4AAB">
          <w:rPr>
            <w:noProof/>
            <w:webHidden/>
          </w:rPr>
          <w:t>7</w:t>
        </w:r>
        <w:r>
          <w:rPr>
            <w:noProof/>
            <w:webHidden/>
          </w:rPr>
          <w:fldChar w:fldCharType="end"/>
        </w:r>
      </w:hyperlink>
    </w:p>
    <w:p w14:paraId="3FE38043" w14:textId="1A43F797" w:rsidR="00876A9B" w:rsidRDefault="00876A9B" w:rsidP="00876A9B">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8278083" w:history="1">
        <w:r w:rsidRPr="00B540DB">
          <w:rPr>
            <w:rStyle w:val="Hyperlink"/>
            <w:noProof/>
          </w:rPr>
          <w:t>4.0</w:t>
        </w:r>
        <w:r>
          <w:rPr>
            <w:rFonts w:asciiTheme="minorHAnsi" w:eastAsiaTheme="minorEastAsia" w:hAnsiTheme="minorHAnsi" w:cstheme="minorBidi"/>
            <w:noProof/>
            <w:kern w:val="2"/>
            <w:sz w:val="24"/>
            <w:szCs w:val="24"/>
            <w14:ligatures w14:val="standardContextual"/>
          </w:rPr>
          <w:tab/>
        </w:r>
        <w:r w:rsidRPr="00B540DB">
          <w:rPr>
            <w:rStyle w:val="Hyperlink"/>
            <w:noProof/>
          </w:rPr>
          <w:t>EXISTING 2500 MHZ DEPLOYMENT REQUIREMENTS</w:t>
        </w:r>
        <w:r>
          <w:rPr>
            <w:noProof/>
            <w:webHidden/>
          </w:rPr>
          <w:tab/>
        </w:r>
        <w:r>
          <w:rPr>
            <w:noProof/>
            <w:webHidden/>
          </w:rPr>
          <w:fldChar w:fldCharType="begin"/>
        </w:r>
        <w:r>
          <w:rPr>
            <w:noProof/>
            <w:webHidden/>
          </w:rPr>
          <w:instrText xml:space="preserve"> PAGEREF _Toc228278083 \h </w:instrText>
        </w:r>
        <w:r>
          <w:rPr>
            <w:noProof/>
            <w:webHidden/>
          </w:rPr>
        </w:r>
        <w:r>
          <w:rPr>
            <w:noProof/>
            <w:webHidden/>
          </w:rPr>
          <w:fldChar w:fldCharType="separate"/>
        </w:r>
        <w:r w:rsidR="005B4AAB">
          <w:rPr>
            <w:noProof/>
            <w:webHidden/>
          </w:rPr>
          <w:t>10</w:t>
        </w:r>
        <w:r>
          <w:rPr>
            <w:noProof/>
            <w:webHidden/>
          </w:rPr>
          <w:fldChar w:fldCharType="end"/>
        </w:r>
      </w:hyperlink>
    </w:p>
    <w:p w14:paraId="15BC5C04" w14:textId="0C580E4B" w:rsidR="00876A9B" w:rsidRDefault="00876A9B" w:rsidP="00876A9B">
      <w:pPr>
        <w:pStyle w:val="TOC1"/>
        <w:tabs>
          <w:tab w:val="right" w:leader="dot" w:pos="9360"/>
        </w:tabs>
        <w:ind w:left="720" w:right="360" w:hanging="720"/>
        <w:jc w:val="both"/>
        <w:rPr>
          <w:rFonts w:asciiTheme="minorHAnsi" w:eastAsiaTheme="minorEastAsia" w:hAnsiTheme="minorHAnsi" w:cstheme="minorBidi"/>
          <w:noProof/>
          <w:kern w:val="2"/>
          <w:sz w:val="24"/>
          <w:szCs w:val="24"/>
          <w14:ligatures w14:val="standardContextual"/>
        </w:rPr>
      </w:pPr>
      <w:hyperlink w:anchor="_Toc228278084" w:history="1">
        <w:r w:rsidRPr="00B540DB">
          <w:rPr>
            <w:rStyle w:val="Hyperlink"/>
            <w:noProof/>
          </w:rPr>
          <w:t>5.0</w:t>
        </w:r>
        <w:r>
          <w:rPr>
            <w:rFonts w:asciiTheme="minorHAnsi" w:eastAsiaTheme="minorEastAsia" w:hAnsiTheme="minorHAnsi" w:cstheme="minorBidi"/>
            <w:noProof/>
            <w:kern w:val="2"/>
            <w:sz w:val="24"/>
            <w:szCs w:val="24"/>
            <w14:ligatures w14:val="standardContextual"/>
          </w:rPr>
          <w:tab/>
        </w:r>
        <w:r w:rsidRPr="00B540DB">
          <w:rPr>
            <w:rStyle w:val="Hyperlink"/>
            <w:noProof/>
          </w:rPr>
          <w:t>TRANSITION PLAN IMPLEMENTATION</w:t>
        </w:r>
        <w:r>
          <w:rPr>
            <w:noProof/>
            <w:webHidden/>
          </w:rPr>
          <w:tab/>
        </w:r>
        <w:r>
          <w:rPr>
            <w:noProof/>
            <w:webHidden/>
          </w:rPr>
          <w:fldChar w:fldCharType="begin"/>
        </w:r>
        <w:r>
          <w:rPr>
            <w:noProof/>
            <w:webHidden/>
          </w:rPr>
          <w:instrText xml:space="preserve"> PAGEREF _Toc228278084 \h </w:instrText>
        </w:r>
        <w:r>
          <w:rPr>
            <w:noProof/>
            <w:webHidden/>
          </w:rPr>
        </w:r>
        <w:r>
          <w:rPr>
            <w:noProof/>
            <w:webHidden/>
          </w:rPr>
          <w:fldChar w:fldCharType="separate"/>
        </w:r>
        <w:r w:rsidR="005B4AAB">
          <w:rPr>
            <w:noProof/>
            <w:webHidden/>
          </w:rPr>
          <w:t>11</w:t>
        </w:r>
        <w:r>
          <w:rPr>
            <w:noProof/>
            <w:webHidden/>
          </w:rPr>
          <w:fldChar w:fldCharType="end"/>
        </w:r>
      </w:hyperlink>
    </w:p>
    <w:p w14:paraId="12652913" w14:textId="7622B87A" w:rsidR="00AA324E" w:rsidRDefault="00366057" w:rsidP="00876A9B">
      <w:pPr>
        <w:tabs>
          <w:tab w:val="clear" w:pos="720"/>
          <w:tab w:val="right" w:leader="dot" w:pos="9360"/>
        </w:tabs>
        <w:ind w:left="720" w:right="360" w:hanging="720"/>
        <w:jc w:val="both"/>
        <w:rPr>
          <w:rFonts w:cs="Arial"/>
          <w:szCs w:val="22"/>
        </w:rPr>
      </w:pPr>
      <w:r>
        <w:rPr>
          <w:rFonts w:cs="Arial"/>
          <w:szCs w:val="22"/>
        </w:rPr>
        <w:fldChar w:fldCharType="end"/>
      </w:r>
    </w:p>
    <w:p w14:paraId="4DE58934" w14:textId="77777777" w:rsidR="00AA324E" w:rsidRDefault="00AA324E" w:rsidP="00D6774C">
      <w:pPr>
        <w:rPr>
          <w:rFonts w:cs="Arial"/>
          <w:szCs w:val="22"/>
        </w:rPr>
      </w:pPr>
    </w:p>
    <w:p w14:paraId="79CD7EC8" w14:textId="77777777" w:rsidR="00AA324E" w:rsidRPr="002E78BE" w:rsidRDefault="00AA324E" w:rsidP="00D6774C">
      <w:pPr>
        <w:rPr>
          <w:rFonts w:cs="Arial"/>
          <w:szCs w:val="22"/>
        </w:rPr>
      </w:pPr>
    </w:p>
    <w:p w14:paraId="5B85B843" w14:textId="77777777" w:rsidR="00AA324E" w:rsidRDefault="00AA324E" w:rsidP="00D6774C">
      <w:pPr>
        <w:rPr>
          <w:rFonts w:cs="Arial"/>
          <w:b/>
          <w:bCs/>
          <w:szCs w:val="22"/>
          <w:u w:val="single"/>
        </w:rPr>
        <w:sectPr w:rsidR="00AA324E" w:rsidSect="009856E8">
          <w:pgSz w:w="12240" w:h="15840" w:code="1"/>
          <w:pgMar w:top="1080" w:right="1440" w:bottom="1080" w:left="1440" w:header="720" w:footer="720" w:gutter="0"/>
          <w:cols w:space="708"/>
          <w:titlePg/>
          <w:docGrid w:linePitch="360"/>
        </w:sectPr>
      </w:pPr>
    </w:p>
    <w:p w14:paraId="33FADB0D" w14:textId="77777777" w:rsidR="00AA324E" w:rsidRPr="00C94D91" w:rsidRDefault="00AA324E" w:rsidP="00D6774C">
      <w:pPr>
        <w:pStyle w:val="Heading1"/>
      </w:pPr>
      <w:bookmarkStart w:id="0" w:name="_Toc151364813"/>
      <w:bookmarkStart w:id="1" w:name="_Toc151364867"/>
      <w:bookmarkStart w:id="2" w:name="_Toc228278080"/>
      <w:r w:rsidRPr="00C94D91">
        <w:lastRenderedPageBreak/>
        <w:t>INTRODUCTION</w:t>
      </w:r>
      <w:bookmarkEnd w:id="0"/>
      <w:bookmarkEnd w:id="1"/>
      <w:bookmarkEnd w:id="2"/>
    </w:p>
    <w:p w14:paraId="39B24D1A" w14:textId="77777777" w:rsidR="00AA324E" w:rsidRDefault="00AA324E" w:rsidP="00D6774C">
      <w:pPr>
        <w:spacing w:line="360" w:lineRule="auto"/>
        <w:jc w:val="both"/>
        <w:rPr>
          <w:rFonts w:cs="Arial"/>
          <w:szCs w:val="22"/>
        </w:rPr>
      </w:pPr>
    </w:p>
    <w:p w14:paraId="16BCE845" w14:textId="348E8E92" w:rsidR="00AA3377" w:rsidRPr="005273FE" w:rsidRDefault="00AA3377" w:rsidP="00D6774C">
      <w:pPr>
        <w:widowControl/>
        <w:numPr>
          <w:ilvl w:val="0"/>
          <w:numId w:val="1"/>
        </w:numPr>
        <w:spacing w:line="360" w:lineRule="auto"/>
        <w:jc w:val="both"/>
        <w:rPr>
          <w:rFonts w:cs="Arial"/>
          <w:szCs w:val="22"/>
        </w:rPr>
      </w:pPr>
      <w:r w:rsidRPr="005273FE">
        <w:rPr>
          <w:rFonts w:cs="Arial"/>
          <w:szCs w:val="22"/>
        </w:rPr>
        <w:t>These Reply Comments are provided in accordance with the procedure set out by Innovation, Science and Economic Development Canada (ISED</w:t>
      </w:r>
      <w:r w:rsidR="00B8248B">
        <w:rPr>
          <w:rFonts w:cs="Arial"/>
          <w:szCs w:val="22"/>
        </w:rPr>
        <w:t>)</w:t>
      </w:r>
      <w:r w:rsidRPr="005273FE">
        <w:rPr>
          <w:rFonts w:cs="Arial"/>
          <w:szCs w:val="22"/>
        </w:rPr>
        <w:t xml:space="preserve">, in Notice No. SPB-002-26, </w:t>
      </w:r>
      <w:r w:rsidRPr="005273FE">
        <w:rPr>
          <w:rFonts w:cs="Arial"/>
          <w:i/>
          <w:iCs/>
          <w:szCs w:val="22"/>
        </w:rPr>
        <w:t>Consultation on the Revisions to the 2500-2690 MHz Band Plan</w:t>
      </w:r>
      <w:r w:rsidRPr="005273FE">
        <w:rPr>
          <w:rFonts w:cs="Arial"/>
          <w:szCs w:val="22"/>
        </w:rPr>
        <w:t xml:space="preserve"> (The Consultation).</w:t>
      </w:r>
    </w:p>
    <w:p w14:paraId="682755C3" w14:textId="77777777" w:rsidR="00AA3377" w:rsidRPr="005273FE" w:rsidRDefault="00AA3377" w:rsidP="00D6774C">
      <w:pPr>
        <w:widowControl/>
        <w:tabs>
          <w:tab w:val="clear" w:pos="720"/>
        </w:tabs>
        <w:spacing w:line="360" w:lineRule="auto"/>
        <w:jc w:val="both"/>
        <w:rPr>
          <w:rFonts w:cs="Arial"/>
          <w:szCs w:val="22"/>
        </w:rPr>
      </w:pPr>
    </w:p>
    <w:p w14:paraId="48120A9B" w14:textId="05743D91" w:rsidR="00AA3377" w:rsidRPr="005273FE" w:rsidRDefault="00AA3377" w:rsidP="00D6774C">
      <w:pPr>
        <w:widowControl/>
        <w:numPr>
          <w:ilvl w:val="0"/>
          <w:numId w:val="1"/>
        </w:numPr>
        <w:spacing w:line="360" w:lineRule="auto"/>
        <w:jc w:val="both"/>
        <w:rPr>
          <w:rFonts w:cs="Arial"/>
          <w:szCs w:val="22"/>
        </w:rPr>
      </w:pPr>
      <w:r w:rsidRPr="005273FE">
        <w:rPr>
          <w:rFonts w:cs="Arial"/>
          <w:szCs w:val="22"/>
        </w:rPr>
        <w:t>We support ISED</w:t>
      </w:r>
      <w:r>
        <w:rPr>
          <w:rFonts w:cs="Arial"/>
          <w:szCs w:val="22"/>
        </w:rPr>
        <w:t>'</w:t>
      </w:r>
      <w:r w:rsidRPr="005273FE">
        <w:rPr>
          <w:rFonts w:cs="Arial"/>
          <w:szCs w:val="22"/>
        </w:rPr>
        <w:t>s proposal to transition the 2500 MHz spectrum band to an unpaired Time Division Duplex (TDD) Band 41 configuration.  However, the transition must be carefully managed through a phased, market-by-market approach developed through mutual agreement among existing licensees.</w:t>
      </w:r>
      <w:r w:rsidR="009122ED">
        <w:rPr>
          <w:rFonts w:cs="Arial"/>
          <w:szCs w:val="22"/>
        </w:rPr>
        <w:t xml:space="preserve"> </w:t>
      </w:r>
      <w:r w:rsidRPr="005273FE">
        <w:rPr>
          <w:rFonts w:cs="Arial"/>
          <w:szCs w:val="22"/>
        </w:rPr>
        <w:t xml:space="preserve"> The majority of commenters also expressed support for a phased, market-by-market approach for the transition to an unpaired TDD band plan.</w:t>
      </w:r>
      <w:r w:rsidRPr="005273FE">
        <w:rPr>
          <w:rStyle w:val="FootnoteReference"/>
          <w:rFonts w:cs="Arial"/>
          <w:szCs w:val="22"/>
        </w:rPr>
        <w:footnoteReference w:id="1"/>
      </w:r>
    </w:p>
    <w:p w14:paraId="772DC44E" w14:textId="77777777" w:rsidR="00AA3377" w:rsidRPr="005273FE" w:rsidRDefault="00AA3377" w:rsidP="00D6774C">
      <w:pPr>
        <w:widowControl/>
        <w:tabs>
          <w:tab w:val="clear" w:pos="720"/>
        </w:tabs>
        <w:spacing w:line="360" w:lineRule="auto"/>
        <w:jc w:val="both"/>
        <w:rPr>
          <w:rFonts w:cs="Arial"/>
          <w:szCs w:val="22"/>
        </w:rPr>
      </w:pPr>
    </w:p>
    <w:p w14:paraId="31D0E909" w14:textId="77777777" w:rsidR="00AA3377" w:rsidRDefault="00AA3377" w:rsidP="00D6774C">
      <w:pPr>
        <w:widowControl/>
        <w:numPr>
          <w:ilvl w:val="0"/>
          <w:numId w:val="1"/>
        </w:numPr>
        <w:spacing w:line="360" w:lineRule="auto"/>
        <w:jc w:val="both"/>
        <w:rPr>
          <w:rFonts w:cs="Arial"/>
          <w:szCs w:val="22"/>
        </w:rPr>
      </w:pPr>
      <w:r w:rsidRPr="005273FE">
        <w:rPr>
          <w:rFonts w:cs="Arial"/>
          <w:szCs w:val="22"/>
        </w:rPr>
        <w:t>The majority of commenters were in agreement with the following key issues which we also support:</w:t>
      </w:r>
    </w:p>
    <w:p w14:paraId="4929DFE0" w14:textId="77777777" w:rsidR="00AA3377" w:rsidRDefault="00AA3377" w:rsidP="00D6774C">
      <w:pPr>
        <w:widowControl/>
        <w:jc w:val="both"/>
        <w:rPr>
          <w:rFonts w:cs="Arial"/>
          <w:szCs w:val="22"/>
        </w:rPr>
      </w:pPr>
    </w:p>
    <w:p w14:paraId="1205F26C" w14:textId="12FFCE63" w:rsidR="00AA3377" w:rsidRPr="005273FE" w:rsidRDefault="004813D5" w:rsidP="00D6774C">
      <w:pPr>
        <w:tabs>
          <w:tab w:val="clear" w:pos="720"/>
        </w:tabs>
        <w:spacing w:line="360" w:lineRule="auto"/>
        <w:ind w:left="1440" w:hanging="720"/>
        <w:jc w:val="both"/>
      </w:pPr>
      <w:r w:rsidRPr="004813D5">
        <w:t>-</w:t>
      </w:r>
      <w:r w:rsidRPr="004813D5">
        <w:tab/>
      </w:r>
      <w:r w:rsidR="00AA3377" w:rsidRPr="00AA3377">
        <w:rPr>
          <w:b/>
          <w:bCs/>
        </w:rPr>
        <w:t>Phased Transition Timeline</w:t>
      </w:r>
      <w:r w:rsidR="00AA3377" w:rsidRPr="005273FE">
        <w:t xml:space="preserve">: </w:t>
      </w:r>
      <w:r>
        <w:t xml:space="preserve"> </w:t>
      </w:r>
      <w:r w:rsidR="00CC5C61">
        <w:t>A</w:t>
      </w:r>
      <w:r w:rsidR="00AA3377" w:rsidRPr="005273FE">
        <w:t xml:space="preserve"> three-phase, market-by-market transition with Ontario and Quebec transitioning first (around 2033), followed by the remaining provinces (around 2035), and the territories (around 2036)</w:t>
      </w:r>
      <w:r w:rsidR="00AA3377" w:rsidRPr="005273FE">
        <w:rPr>
          <w:rStyle w:val="FootnoteReference"/>
          <w:rFonts w:cs="Arial"/>
        </w:rPr>
        <w:footnoteReference w:id="2"/>
      </w:r>
      <w:r w:rsidR="00CC5C61">
        <w:t>;</w:t>
      </w:r>
    </w:p>
    <w:p w14:paraId="0931CBF7" w14:textId="7A9D5F23" w:rsidR="00AA3377" w:rsidRPr="005273FE" w:rsidRDefault="004813D5" w:rsidP="00D6774C">
      <w:pPr>
        <w:tabs>
          <w:tab w:val="clear" w:pos="720"/>
        </w:tabs>
        <w:spacing w:line="360" w:lineRule="auto"/>
        <w:ind w:left="1440" w:hanging="720"/>
        <w:jc w:val="both"/>
      </w:pPr>
      <w:r w:rsidRPr="004813D5">
        <w:t>-</w:t>
      </w:r>
      <w:r w:rsidRPr="004813D5">
        <w:tab/>
      </w:r>
      <w:r w:rsidR="00AA3377" w:rsidRPr="00AA3377">
        <w:rPr>
          <w:b/>
          <w:bCs/>
        </w:rPr>
        <w:t>Deployment Requirements</w:t>
      </w:r>
      <w:r w:rsidR="00AA3377" w:rsidRPr="005273FE">
        <w:t xml:space="preserve">: </w:t>
      </w:r>
      <w:r>
        <w:t xml:space="preserve"> </w:t>
      </w:r>
      <w:r w:rsidR="00CC5C61">
        <w:t xml:space="preserve">These </w:t>
      </w:r>
      <w:r w:rsidR="00AA3377" w:rsidRPr="005273FE">
        <w:t>should be paused or adjusted to avoid forcing investment in soon-to-be obsolete infrastructure</w:t>
      </w:r>
      <w:r w:rsidR="00AA3377" w:rsidRPr="005273FE">
        <w:rPr>
          <w:rStyle w:val="FootnoteReference"/>
          <w:rFonts w:cs="Arial"/>
        </w:rPr>
        <w:footnoteReference w:id="3"/>
      </w:r>
      <w:r w:rsidR="00CC5C61">
        <w:t>;</w:t>
      </w:r>
    </w:p>
    <w:p w14:paraId="566A7515" w14:textId="0257C43E" w:rsidR="00AA3377" w:rsidRPr="005273FE" w:rsidRDefault="004813D5" w:rsidP="00D6774C">
      <w:pPr>
        <w:tabs>
          <w:tab w:val="clear" w:pos="720"/>
        </w:tabs>
        <w:spacing w:line="360" w:lineRule="auto"/>
        <w:ind w:left="1440" w:hanging="720"/>
        <w:jc w:val="both"/>
      </w:pPr>
      <w:r w:rsidRPr="004813D5">
        <w:t>-</w:t>
      </w:r>
      <w:r w:rsidRPr="004813D5">
        <w:tab/>
      </w:r>
      <w:r w:rsidR="00AA3377" w:rsidRPr="00AA3377">
        <w:rPr>
          <w:b/>
          <w:bCs/>
        </w:rPr>
        <w:t>Contiguous Spectrum</w:t>
      </w:r>
      <w:r w:rsidR="00AA3377" w:rsidRPr="005273FE">
        <w:t xml:space="preserve">: </w:t>
      </w:r>
      <w:r>
        <w:t xml:space="preserve"> </w:t>
      </w:r>
      <w:r w:rsidR="00CC5C61">
        <w:t xml:space="preserve">This </w:t>
      </w:r>
      <w:r w:rsidR="00AA3377" w:rsidRPr="005273FE">
        <w:t>is essential to realize the full efficiency benefits of the transition</w:t>
      </w:r>
      <w:r w:rsidR="00AA3377" w:rsidRPr="005273FE">
        <w:rPr>
          <w:rStyle w:val="FootnoteReference"/>
          <w:rFonts w:cs="Arial"/>
        </w:rPr>
        <w:footnoteReference w:id="4"/>
      </w:r>
      <w:r w:rsidR="00CC5C61">
        <w:t>;</w:t>
      </w:r>
    </w:p>
    <w:p w14:paraId="4D1A82DD" w14:textId="7C10422E" w:rsidR="00AA3377" w:rsidRPr="005273FE" w:rsidRDefault="004813D5" w:rsidP="00D6774C">
      <w:pPr>
        <w:tabs>
          <w:tab w:val="clear" w:pos="720"/>
        </w:tabs>
        <w:spacing w:line="360" w:lineRule="auto"/>
        <w:ind w:left="1440" w:hanging="720"/>
        <w:jc w:val="both"/>
      </w:pPr>
      <w:r w:rsidRPr="004813D5">
        <w:t>-</w:t>
      </w:r>
      <w:r w:rsidRPr="004813D5">
        <w:tab/>
      </w:r>
      <w:r w:rsidR="00AA3377" w:rsidRPr="00AA3377">
        <w:rPr>
          <w:b/>
          <w:bCs/>
        </w:rPr>
        <w:t>Industry-Led Process</w:t>
      </w:r>
      <w:r w:rsidR="00AA3377" w:rsidRPr="005273FE">
        <w:t xml:space="preserve">: </w:t>
      </w:r>
      <w:r>
        <w:t xml:space="preserve"> </w:t>
      </w:r>
      <w:r w:rsidR="00CC5C61">
        <w:t xml:space="preserve">This would </w:t>
      </w:r>
      <w:r w:rsidR="00AA3377" w:rsidRPr="005273FE">
        <w:t>allow licensees to collaboratively determine the details of the transition plan</w:t>
      </w:r>
      <w:r w:rsidR="00AA3377" w:rsidRPr="005273FE">
        <w:rPr>
          <w:rStyle w:val="FootnoteReference"/>
          <w:rFonts w:cs="Arial"/>
        </w:rPr>
        <w:footnoteReference w:id="5"/>
      </w:r>
      <w:r w:rsidR="00CC5C61">
        <w:t>; and</w:t>
      </w:r>
    </w:p>
    <w:p w14:paraId="4F85B7C5" w14:textId="16C7DFBE" w:rsidR="00C05D2F" w:rsidRDefault="004813D5" w:rsidP="00D6774C">
      <w:pPr>
        <w:tabs>
          <w:tab w:val="clear" w:pos="720"/>
        </w:tabs>
        <w:spacing w:line="360" w:lineRule="auto"/>
        <w:ind w:left="1440" w:hanging="720"/>
        <w:jc w:val="both"/>
      </w:pPr>
      <w:r w:rsidRPr="004813D5">
        <w:t>-</w:t>
      </w:r>
      <w:r w:rsidRPr="004813D5">
        <w:tab/>
      </w:r>
      <w:r w:rsidR="00AA3377" w:rsidRPr="00AA3377">
        <w:rPr>
          <w:b/>
          <w:bCs/>
        </w:rPr>
        <w:t>Technical Standards</w:t>
      </w:r>
      <w:r w:rsidR="00AA3377" w:rsidRPr="005273FE">
        <w:t xml:space="preserve">: </w:t>
      </w:r>
      <w:r>
        <w:t xml:space="preserve"> </w:t>
      </w:r>
      <w:r w:rsidR="00AA3377" w:rsidRPr="005273FE">
        <w:t xml:space="preserve">ISED should promptly update the relevant </w:t>
      </w:r>
      <w:r w:rsidR="009122ED" w:rsidRPr="009122ED">
        <w:t>Radio Standards Specification (RSS) and Standard Radio System Plan (SRSP)</w:t>
      </w:r>
      <w:r w:rsidR="009122ED">
        <w:t xml:space="preserve"> </w:t>
      </w:r>
      <w:r w:rsidR="00AA3377" w:rsidRPr="005273FE">
        <w:t>documents to enable equipment certification.</w:t>
      </w:r>
      <w:r w:rsidR="00AA3377" w:rsidRPr="005273FE">
        <w:rPr>
          <w:rStyle w:val="FootnoteReference"/>
          <w:rFonts w:cs="Arial"/>
        </w:rPr>
        <w:footnoteReference w:id="6"/>
      </w:r>
      <w:r w:rsidR="00C05D2F">
        <w:br w:type="page"/>
      </w:r>
    </w:p>
    <w:p w14:paraId="341538C6" w14:textId="34E33440" w:rsidR="00F36C4A" w:rsidRDefault="00F36C4A" w:rsidP="00D6774C">
      <w:pPr>
        <w:widowControl/>
        <w:numPr>
          <w:ilvl w:val="0"/>
          <w:numId w:val="1"/>
        </w:numPr>
        <w:spacing w:line="360" w:lineRule="auto"/>
        <w:jc w:val="both"/>
        <w:rPr>
          <w:rFonts w:cs="Arial"/>
          <w:szCs w:val="22"/>
        </w:rPr>
      </w:pPr>
      <w:r w:rsidRPr="005273FE">
        <w:rPr>
          <w:rFonts w:cs="Arial"/>
          <w:szCs w:val="22"/>
        </w:rPr>
        <w:lastRenderedPageBreak/>
        <w:t xml:space="preserve">Furthermore, we recommend that ISED take a holistic view of the 2500-2900 MHz range in light of the US identification of the 2690-2900 MHz </w:t>
      </w:r>
      <w:r w:rsidR="00F05EDC">
        <w:rPr>
          <w:rFonts w:cs="Arial"/>
          <w:szCs w:val="22"/>
        </w:rPr>
        <w:t xml:space="preserve">spectrum </w:t>
      </w:r>
      <w:r w:rsidRPr="005273FE">
        <w:rPr>
          <w:rFonts w:cs="Arial"/>
          <w:szCs w:val="22"/>
        </w:rPr>
        <w:t xml:space="preserve">band as potential 6G spectrum under the </w:t>
      </w:r>
      <w:r w:rsidRPr="005273FE">
        <w:rPr>
          <w:rFonts w:cs="Arial"/>
          <w:i/>
          <w:iCs/>
          <w:szCs w:val="22"/>
        </w:rPr>
        <w:t>One Big Beautiful Bill Act</w:t>
      </w:r>
      <w:r w:rsidR="00C05D2F" w:rsidRPr="00C05D2F">
        <w:rPr>
          <w:rFonts w:cs="Arial"/>
          <w:szCs w:val="22"/>
        </w:rPr>
        <w:t>.</w:t>
      </w:r>
      <w:r w:rsidRPr="00C05D2F">
        <w:rPr>
          <w:rStyle w:val="FootnoteReference"/>
          <w:rFonts w:cs="Arial"/>
          <w:szCs w:val="22"/>
        </w:rPr>
        <w:footnoteReference w:id="7"/>
      </w:r>
      <w:r w:rsidRPr="00C05D2F">
        <w:rPr>
          <w:rFonts w:cs="Arial"/>
          <w:szCs w:val="22"/>
        </w:rPr>
        <w:t xml:space="preserve">  </w:t>
      </w:r>
      <w:r w:rsidRPr="005273FE">
        <w:rPr>
          <w:rFonts w:cs="Arial"/>
          <w:szCs w:val="22"/>
        </w:rPr>
        <w:t>We recommend that ISED combine the auctioning of the 10</w:t>
      </w:r>
      <w:r w:rsidR="00C05D2F">
        <w:rPr>
          <w:rFonts w:cs="Arial"/>
          <w:szCs w:val="22"/>
        </w:rPr>
        <w:t> </w:t>
      </w:r>
      <w:r w:rsidRPr="005273FE">
        <w:rPr>
          <w:rFonts w:cs="Arial"/>
          <w:szCs w:val="22"/>
        </w:rPr>
        <w:t>MHz guard band spectrum with the release of the 2690-2900 MHz spectrum band and conduct a single, unified assignment round across the entire 2500-2900 MHz spectrum band to avoid spectrum fragmentation and position Canada at the forefront of 6G spectrum readiness.</w:t>
      </w:r>
    </w:p>
    <w:p w14:paraId="2EB537B6" w14:textId="77777777" w:rsidR="00F36C4A" w:rsidRDefault="00F36C4A" w:rsidP="00D6774C">
      <w:pPr>
        <w:widowControl/>
        <w:spacing w:line="360" w:lineRule="auto"/>
        <w:jc w:val="both"/>
        <w:rPr>
          <w:rFonts w:cs="Arial"/>
          <w:szCs w:val="22"/>
        </w:rPr>
      </w:pPr>
    </w:p>
    <w:p w14:paraId="7344AF82" w14:textId="77777777" w:rsidR="00F36C4A" w:rsidRPr="00F36C4A" w:rsidRDefault="00F36C4A" w:rsidP="00D6774C">
      <w:pPr>
        <w:pStyle w:val="Heading1"/>
      </w:pPr>
      <w:bookmarkStart w:id="3" w:name="_Toc228278081"/>
      <w:r w:rsidRPr="00F36C4A">
        <w:t>NEW 2500 MHZ TDD BAND PLAN</w:t>
      </w:r>
      <w:bookmarkEnd w:id="3"/>
    </w:p>
    <w:p w14:paraId="69FA74ED" w14:textId="77777777" w:rsidR="00F36C4A" w:rsidRDefault="00F36C4A" w:rsidP="00D6774C">
      <w:pPr>
        <w:widowControl/>
        <w:spacing w:line="360" w:lineRule="auto"/>
        <w:jc w:val="both"/>
        <w:rPr>
          <w:rFonts w:cs="Arial"/>
          <w:szCs w:val="22"/>
        </w:rPr>
      </w:pPr>
    </w:p>
    <w:p w14:paraId="27D76733" w14:textId="141CCC04" w:rsidR="00F36C4A" w:rsidRPr="005273FE" w:rsidRDefault="00F36C4A" w:rsidP="00D6774C">
      <w:pPr>
        <w:tabs>
          <w:tab w:val="clear" w:pos="720"/>
        </w:tabs>
        <w:ind w:left="720" w:hanging="720"/>
        <w:rPr>
          <w:rFonts w:cs="Arial"/>
        </w:rPr>
      </w:pPr>
      <w:r w:rsidRPr="005273FE">
        <w:rPr>
          <w:rFonts w:cs="Arial"/>
          <w:b/>
        </w:rPr>
        <w:t>Q1.</w:t>
      </w:r>
      <w:r w:rsidR="00E93075">
        <w:rPr>
          <w:rFonts w:cs="Arial"/>
          <w:b/>
        </w:rPr>
        <w:tab/>
      </w:r>
      <w:r w:rsidRPr="005273FE">
        <w:rPr>
          <w:rFonts w:cs="Arial"/>
          <w:b/>
        </w:rPr>
        <w:t>ISED is seeking comments on its proposal to revise the band plan to an unpaired band plan in 2500-2690 MHz.</w:t>
      </w:r>
    </w:p>
    <w:p w14:paraId="3E17885F" w14:textId="77777777" w:rsidR="00F36C4A" w:rsidRPr="005273FE" w:rsidRDefault="00F36C4A" w:rsidP="00D6774C">
      <w:pPr>
        <w:widowControl/>
        <w:spacing w:line="360" w:lineRule="auto"/>
        <w:jc w:val="both"/>
        <w:rPr>
          <w:rFonts w:cs="Arial"/>
          <w:szCs w:val="22"/>
        </w:rPr>
      </w:pPr>
    </w:p>
    <w:p w14:paraId="0A030D42" w14:textId="454E4131" w:rsidR="003B7567" w:rsidRDefault="00E93075" w:rsidP="00D6774C">
      <w:pPr>
        <w:pStyle w:val="ListParagraph"/>
        <w:numPr>
          <w:ilvl w:val="0"/>
          <w:numId w:val="1"/>
        </w:numPr>
        <w:jc w:val="both"/>
      </w:pPr>
      <w:r w:rsidRPr="005273FE">
        <w:t xml:space="preserve">Eastlink opposed the transition and argued that its existing radio equipment is </w:t>
      </w:r>
      <w:r>
        <w:t>"</w:t>
      </w:r>
      <w:r w:rsidRPr="005273FE">
        <w:t>incompatible with the US band plan, and would need to be entirely replaced</w:t>
      </w:r>
      <w:r>
        <w:t>"</w:t>
      </w:r>
      <w:r w:rsidRPr="005273FE">
        <w:rPr>
          <w:rStyle w:val="FootnoteReference"/>
        </w:rPr>
        <w:footnoteReference w:id="8"/>
      </w:r>
      <w:r w:rsidRPr="005273FE">
        <w:t xml:space="preserve"> and urges ISED to explore </w:t>
      </w:r>
      <w:r>
        <w:t>"</w:t>
      </w:r>
      <w:r w:rsidRPr="005273FE">
        <w:t>alternative long-term solutions to address border interference</w:t>
      </w:r>
      <w:r>
        <w:t>"</w:t>
      </w:r>
      <w:r w:rsidRPr="005273FE">
        <w:t xml:space="preserve"> </w:t>
      </w:r>
      <w:r w:rsidR="00A849C2">
        <w:t xml:space="preserve"> </w:t>
      </w:r>
      <w:r w:rsidRPr="005273FE">
        <w:t>However, the majority of commenters</w:t>
      </w:r>
      <w:r w:rsidR="00A849C2">
        <w:t>,</w:t>
      </w:r>
      <w:r w:rsidRPr="005273FE">
        <w:t xml:space="preserve"> including ourselves</w:t>
      </w:r>
      <w:r w:rsidR="00A849C2">
        <w:t>,</w:t>
      </w:r>
      <w:r w:rsidRPr="005273FE">
        <w:t xml:space="preserve"> support ISED</w:t>
      </w:r>
      <w:r>
        <w:t>'</w:t>
      </w:r>
      <w:r w:rsidRPr="005273FE">
        <w:t>s proposal to transition to a TDD band plan.  Adopting a TDD configuration will align Canada</w:t>
      </w:r>
      <w:r>
        <w:t>'</w:t>
      </w:r>
      <w:r w:rsidRPr="005273FE">
        <w:t>s 2500 MHz spectrum band plan with that of the US, which will resolve cross-border interference and allow for more efficient spectrum utilization.  As noted in Rogers</w:t>
      </w:r>
      <w:r w:rsidR="00A849C2">
        <w:t>'</w:t>
      </w:r>
      <w:r w:rsidRPr="005273FE">
        <w:t xml:space="preserve"> comments, the transition would enable cross-border coexistence</w:t>
      </w:r>
      <w:r w:rsidR="00A849C2">
        <w:t xml:space="preserve"> and</w:t>
      </w:r>
      <w:r w:rsidRPr="005273FE">
        <w:t xml:space="preserve"> enhance equipment benefits and spectral efficiency gains from defragmentation.</w:t>
      </w:r>
      <w:r w:rsidRPr="005273FE">
        <w:rPr>
          <w:rStyle w:val="FootnoteReference"/>
        </w:rPr>
        <w:footnoteReference w:id="9"/>
      </w:r>
      <w:r w:rsidRPr="005273FE">
        <w:t xml:space="preserve">  </w:t>
      </w:r>
      <w:r w:rsidR="003F699B">
        <w:t>There is</w:t>
      </w:r>
      <w:r w:rsidRPr="005273FE">
        <w:t xml:space="preserve"> no doubt that proceeding with the transition is in the best interests of Canadians.</w:t>
      </w:r>
    </w:p>
    <w:p w14:paraId="1A70DE33" w14:textId="77777777" w:rsidR="003B7567" w:rsidRDefault="003B7567" w:rsidP="00D6774C">
      <w:pPr>
        <w:pStyle w:val="ListParagraph"/>
        <w:ind w:left="0" w:firstLine="0"/>
        <w:jc w:val="both"/>
      </w:pPr>
    </w:p>
    <w:p w14:paraId="4538976E" w14:textId="72183EB9" w:rsidR="003B7567" w:rsidRPr="005273FE" w:rsidRDefault="003B7567" w:rsidP="00D6774C">
      <w:pPr>
        <w:pStyle w:val="ListParagraph"/>
        <w:numPr>
          <w:ilvl w:val="0"/>
          <w:numId w:val="1"/>
        </w:numPr>
        <w:jc w:val="both"/>
      </w:pPr>
      <w:r w:rsidRPr="005273FE">
        <w:t xml:space="preserve">Rogers </w:t>
      </w:r>
      <w:r>
        <w:t>"</w:t>
      </w:r>
      <w:r w:rsidRPr="005273FE">
        <w:t>fully supports</w:t>
      </w:r>
      <w:r>
        <w:t>"</w:t>
      </w:r>
      <w:r w:rsidRPr="005273FE">
        <w:t xml:space="preserve"> the transition</w:t>
      </w:r>
      <w:r>
        <w:rPr>
          <w:rStyle w:val="FootnoteReference"/>
        </w:rPr>
        <w:footnoteReference w:id="10"/>
      </w:r>
      <w:r>
        <w:t xml:space="preserve"> </w:t>
      </w:r>
      <w:r w:rsidR="00A849C2">
        <w:t>and</w:t>
      </w:r>
      <w:r>
        <w:t xml:space="preserve"> </w:t>
      </w:r>
      <w:r w:rsidRPr="005273FE">
        <w:t xml:space="preserve">Telus </w:t>
      </w:r>
      <w:r>
        <w:t>"</w:t>
      </w:r>
      <w:r w:rsidRPr="005273FE">
        <w:t>strongly agrees with ISED</w:t>
      </w:r>
      <w:r>
        <w:t>'</w:t>
      </w:r>
      <w:r w:rsidRPr="005273FE">
        <w:t>s rationale that transitioning to a TDD band plan is the most effective way to harmonize with the U.S. market to resolve persistent interference.</w:t>
      </w:r>
      <w:r>
        <w:t>"</w:t>
      </w:r>
      <w:r>
        <w:rPr>
          <w:rStyle w:val="FootnoteReference"/>
        </w:rPr>
        <w:footnoteReference w:id="11"/>
      </w:r>
      <w:r>
        <w:t xml:space="preserve">  </w:t>
      </w:r>
      <w:r w:rsidRPr="005273FE">
        <w:t>Moreover, Sask</w:t>
      </w:r>
      <w:r w:rsidR="0025718C">
        <w:t>t</w:t>
      </w:r>
      <w:r w:rsidRPr="005273FE">
        <w:t xml:space="preserve">el agrees with the proposed band plan, noting that </w:t>
      </w:r>
      <w:r>
        <w:t>"</w:t>
      </w:r>
      <w:r w:rsidRPr="005273FE">
        <w:t>this large amount of TDD spectrum provides operators with the opportunity to add significant capacity to their 5G network deployments,</w:t>
      </w:r>
      <w:r>
        <w:t>"</w:t>
      </w:r>
      <w:r>
        <w:rPr>
          <w:rStyle w:val="FootnoteReference"/>
        </w:rPr>
        <w:footnoteReference w:id="12"/>
      </w:r>
      <w:r>
        <w:t xml:space="preserve"> </w:t>
      </w:r>
      <w:r w:rsidRPr="005273FE">
        <w:t xml:space="preserve">and Cogeco </w:t>
      </w:r>
      <w:r>
        <w:t>"</w:t>
      </w:r>
      <w:r w:rsidRPr="005273FE">
        <w:t>strongly supports</w:t>
      </w:r>
      <w:r>
        <w:t>"</w:t>
      </w:r>
      <w:r w:rsidRPr="005273FE">
        <w:t xml:space="preserve"> the proposal as </w:t>
      </w:r>
      <w:r>
        <w:t>"</w:t>
      </w:r>
      <w:r w:rsidRPr="005273FE">
        <w:t>a vital step in ensuring that Canadian networks can meet the increasing demand for high-speed data while remaining cost-competitive</w:t>
      </w:r>
      <w:r>
        <w:t>"</w:t>
      </w:r>
      <w:r w:rsidRPr="005273FE">
        <w:t>.</w:t>
      </w:r>
      <w:r>
        <w:rPr>
          <w:rStyle w:val="FootnoteReference"/>
        </w:rPr>
        <w:footnoteReference w:id="13"/>
      </w:r>
    </w:p>
    <w:p w14:paraId="27162B08" w14:textId="77777777" w:rsidR="003B7567" w:rsidRDefault="003B7567" w:rsidP="00D6774C"/>
    <w:p w14:paraId="187DA41B" w14:textId="336977A0" w:rsidR="003B7567" w:rsidRPr="005273FE" w:rsidRDefault="003B7567" w:rsidP="00D6774C">
      <w:pPr>
        <w:pStyle w:val="ListParagraph"/>
        <w:numPr>
          <w:ilvl w:val="0"/>
          <w:numId w:val="1"/>
        </w:numPr>
        <w:jc w:val="both"/>
      </w:pPr>
      <w:r w:rsidRPr="005273FE">
        <w:lastRenderedPageBreak/>
        <w:t>Furthermore, the GSMA agrees with ISED</w:t>
      </w:r>
      <w:r>
        <w:t>'</w:t>
      </w:r>
      <w:r w:rsidRPr="005273FE">
        <w:t xml:space="preserve">s proposal, noting that </w:t>
      </w:r>
      <w:r>
        <w:t>"</w:t>
      </w:r>
      <w:r w:rsidRPr="005273FE">
        <w:t>transitioning to an unpaired TDD band plan in 2.5 GHz will give Canadian mobile network operators greater flexibility to deploy networks that serve Canadian consumers and businesses while facilitating cross-border coordination with the US,</w:t>
      </w:r>
      <w:r>
        <w:t>"</w:t>
      </w:r>
      <w:r w:rsidR="00B30A46">
        <w:rPr>
          <w:rStyle w:val="FootnoteReference"/>
        </w:rPr>
        <w:footnoteReference w:id="14"/>
      </w:r>
      <w:r w:rsidRPr="005273FE">
        <w:t xml:space="preserve"> while Nokia similarly supports aligning with the US and global ecosystem, emphasizing the growth of the </w:t>
      </w:r>
      <w:r w:rsidR="005D2622">
        <w:t>Band 41</w:t>
      </w:r>
      <w:r w:rsidR="005D2622" w:rsidRPr="005273FE">
        <w:t xml:space="preserve"> </w:t>
      </w:r>
      <w:r w:rsidRPr="005273FE">
        <w:t>band worldwide and its importance for future 6G spectrum.</w:t>
      </w:r>
      <w:r w:rsidR="00B30A46">
        <w:rPr>
          <w:rStyle w:val="FootnoteReference"/>
        </w:rPr>
        <w:footnoteReference w:id="15"/>
      </w:r>
    </w:p>
    <w:p w14:paraId="49D7851B" w14:textId="77777777" w:rsidR="003B7567" w:rsidRPr="005273FE" w:rsidRDefault="003B7567" w:rsidP="00D6774C">
      <w:pPr>
        <w:pStyle w:val="ListParagraph"/>
        <w:ind w:left="0" w:firstLine="0"/>
        <w:jc w:val="both"/>
      </w:pPr>
    </w:p>
    <w:p w14:paraId="4EBD005E" w14:textId="4274A6F2" w:rsidR="00E93075" w:rsidRPr="005273FE" w:rsidRDefault="00E93075" w:rsidP="00D6774C">
      <w:pPr>
        <w:pStyle w:val="ListParagraph"/>
        <w:numPr>
          <w:ilvl w:val="0"/>
          <w:numId w:val="1"/>
        </w:numPr>
        <w:jc w:val="both"/>
      </w:pPr>
      <w:r w:rsidRPr="005273FE">
        <w:t>The cross-border interference challenges arising from the divergence between the Canadian and US band plans have reached a critical point that cannot be resolved through half-measures.  The suggestion that alternative solutions be explored ignores the extensive coordination efforts that have been underway for over a decade, culminating in a formal cross</w:t>
      </w:r>
      <w:r w:rsidR="0058009A">
        <w:noBreakHyphen/>
      </w:r>
      <w:r w:rsidRPr="005273FE">
        <w:t xml:space="preserve">border agreement in 2024, which remains, as Cogeco describes, </w:t>
      </w:r>
      <w:r>
        <w:t>"</w:t>
      </w:r>
      <w:r w:rsidRPr="005273FE">
        <w:t>a stopgap measure</w:t>
      </w:r>
      <w:r>
        <w:t>"</w:t>
      </w:r>
      <w:r w:rsidRPr="005273FE">
        <w:t>.</w:t>
      </w:r>
      <w:r w:rsidRPr="005273FE">
        <w:rPr>
          <w:rStyle w:val="FootnoteReference"/>
        </w:rPr>
        <w:footnoteReference w:id="16"/>
      </w:r>
      <w:r w:rsidRPr="005273FE">
        <w:t xml:space="preserve"> </w:t>
      </w:r>
      <w:r w:rsidR="0058009A">
        <w:t xml:space="preserve"> </w:t>
      </w:r>
      <w:r w:rsidRPr="005273FE">
        <w:t xml:space="preserve">Telus similarly observes that current coexistence measures are </w:t>
      </w:r>
      <w:r>
        <w:t>"</w:t>
      </w:r>
      <w:r w:rsidRPr="005273FE">
        <w:t>increasingly unpalatable and spectrally inefficient</w:t>
      </w:r>
      <w:r>
        <w:t>"</w:t>
      </w:r>
      <w:r w:rsidRPr="005273FE">
        <w:t xml:space="preserve"> and that these measures </w:t>
      </w:r>
      <w:r>
        <w:t>"</w:t>
      </w:r>
      <w:r w:rsidRPr="005273FE">
        <w:t>effectively waste significant amounts of this vital spectrum for two-thirds of the Canadian population</w:t>
      </w:r>
      <w:r>
        <w:t>"</w:t>
      </w:r>
      <w:r w:rsidRPr="005273FE">
        <w:t>.</w:t>
      </w:r>
      <w:r w:rsidRPr="005273FE">
        <w:rPr>
          <w:rStyle w:val="FootnoteReference"/>
        </w:rPr>
        <w:footnoteReference w:id="17"/>
      </w:r>
      <w:r w:rsidRPr="005273FE">
        <w:t xml:space="preserve"> </w:t>
      </w:r>
      <w:r w:rsidR="0058009A">
        <w:t xml:space="preserve"> </w:t>
      </w:r>
      <w:r w:rsidRPr="005273FE">
        <w:t>The spectrum is not being fully used near the US border today, and this situation impacts Canadians who reside in the most densely populated regions of the country.</w:t>
      </w:r>
    </w:p>
    <w:p w14:paraId="43C40019" w14:textId="77777777" w:rsidR="00E93075" w:rsidRPr="005273FE" w:rsidRDefault="00E93075" w:rsidP="00D6774C">
      <w:pPr>
        <w:pStyle w:val="ListParagraph"/>
        <w:ind w:left="0" w:firstLine="0"/>
        <w:jc w:val="both"/>
      </w:pPr>
    </w:p>
    <w:p w14:paraId="32DCE22D" w14:textId="67B9FA91" w:rsidR="00807333" w:rsidRDefault="00E93075" w:rsidP="00D6774C">
      <w:pPr>
        <w:pStyle w:val="ListParagraph"/>
        <w:numPr>
          <w:ilvl w:val="0"/>
          <w:numId w:val="1"/>
        </w:numPr>
        <w:jc w:val="both"/>
      </w:pPr>
      <w:r w:rsidRPr="005273FE">
        <w:t>Maintaining the status quo would deprive Canadians of the benefits of this valuable spectrum resource and is contrary to ISED</w:t>
      </w:r>
      <w:r>
        <w:t>'</w:t>
      </w:r>
      <w:r w:rsidRPr="005273FE">
        <w:t xml:space="preserve">s policy objective under the </w:t>
      </w:r>
      <w:r w:rsidRPr="005273FE">
        <w:rPr>
          <w:i/>
          <w:iCs/>
        </w:rPr>
        <w:t>Spectrum Policy Framework for Canada</w:t>
      </w:r>
      <w:r w:rsidRPr="005273FE">
        <w:t xml:space="preserve"> (SPFC) to </w:t>
      </w:r>
      <w:r>
        <w:t>"</w:t>
      </w:r>
      <w:r w:rsidRPr="005273FE">
        <w:t>maximize the economic and social benefits that Canadians derive from the use of the radio frequency spectrum resource.</w:t>
      </w:r>
      <w:r>
        <w:t>"</w:t>
      </w:r>
      <w:r w:rsidRPr="005273FE">
        <w:rPr>
          <w:rStyle w:val="FootnoteReference"/>
        </w:rPr>
        <w:footnoteReference w:id="18"/>
      </w:r>
      <w:r w:rsidRPr="005273FE">
        <w:t xml:space="preserve">  It is also counter to the SPFC Enabling Guideline (h) which states </w:t>
      </w:r>
      <w:r w:rsidR="00807333">
        <w:t>that</w:t>
      </w:r>
    </w:p>
    <w:p w14:paraId="2AC20935" w14:textId="77777777" w:rsidR="00807333" w:rsidRDefault="00807333" w:rsidP="00D6774C">
      <w:pPr>
        <w:pStyle w:val="ListParagraph"/>
        <w:spacing w:line="240" w:lineRule="auto"/>
        <w:ind w:left="0" w:firstLine="0"/>
        <w:jc w:val="both"/>
      </w:pPr>
    </w:p>
    <w:p w14:paraId="514492C7" w14:textId="4A1F8AA2" w:rsidR="00E93075" w:rsidRPr="005273FE" w:rsidRDefault="00E93075" w:rsidP="00D6774C">
      <w:pPr>
        <w:pStyle w:val="ListParagraph"/>
        <w:spacing w:line="240" w:lineRule="auto"/>
        <w:ind w:right="720" w:firstLine="0"/>
        <w:jc w:val="both"/>
      </w:pPr>
      <w:r w:rsidRPr="005273FE">
        <w:t>spectrum policy and management should support the efficient functioning of markets by harmonizing spectrum use with international allocations and standards, except where Canadian interests warrant a different determination.</w:t>
      </w:r>
      <w:r w:rsidRPr="005273FE">
        <w:rPr>
          <w:rStyle w:val="FootnoteReference"/>
        </w:rPr>
        <w:footnoteReference w:id="19"/>
      </w:r>
    </w:p>
    <w:p w14:paraId="4EBFB203" w14:textId="77777777" w:rsidR="00E93075" w:rsidRPr="005273FE" w:rsidRDefault="00E93075" w:rsidP="00D6774C">
      <w:pPr>
        <w:widowControl/>
        <w:spacing w:line="360" w:lineRule="auto"/>
        <w:jc w:val="both"/>
        <w:rPr>
          <w:rFonts w:cs="Arial"/>
          <w:szCs w:val="22"/>
        </w:rPr>
      </w:pPr>
    </w:p>
    <w:p w14:paraId="2B1CEF23" w14:textId="12BE67C3" w:rsidR="00E93075" w:rsidRPr="005273FE" w:rsidRDefault="00E93075" w:rsidP="00D6774C">
      <w:pPr>
        <w:widowControl/>
        <w:numPr>
          <w:ilvl w:val="0"/>
          <w:numId w:val="1"/>
        </w:numPr>
        <w:spacing w:line="360" w:lineRule="auto"/>
        <w:jc w:val="both"/>
        <w:rPr>
          <w:rFonts w:cs="Arial"/>
          <w:szCs w:val="22"/>
        </w:rPr>
      </w:pPr>
      <w:r w:rsidRPr="005273FE">
        <w:rPr>
          <w:rFonts w:cs="Arial"/>
          <w:szCs w:val="22"/>
        </w:rPr>
        <w:t xml:space="preserve">Furthermore, the transition to TDD will deliver substantial and well-documented benefits that far outweigh the costs </w:t>
      </w:r>
      <w:r w:rsidR="003671F3">
        <w:rPr>
          <w:rFonts w:cs="Arial"/>
          <w:szCs w:val="22"/>
        </w:rPr>
        <w:t xml:space="preserve">identified by </w:t>
      </w:r>
      <w:r w:rsidRPr="005273FE">
        <w:rPr>
          <w:rFonts w:cs="Arial"/>
          <w:szCs w:val="22"/>
        </w:rPr>
        <w:t>Eastlink.  TDD enables more efficient use of the 2500</w:t>
      </w:r>
      <w:r w:rsidR="003671F3">
        <w:rPr>
          <w:rFonts w:cs="Arial"/>
          <w:szCs w:val="22"/>
        </w:rPr>
        <w:t> </w:t>
      </w:r>
      <w:r w:rsidRPr="005273FE">
        <w:rPr>
          <w:rFonts w:cs="Arial"/>
          <w:szCs w:val="22"/>
        </w:rPr>
        <w:t xml:space="preserve">MHz spectrum band through dynamic allocation of uplink and downlink timeslots, avoiding the inherent inefficiency of </w:t>
      </w:r>
      <w:r w:rsidR="006F5A8F" w:rsidRPr="006F5A8F">
        <w:rPr>
          <w:rFonts w:cs="Arial"/>
          <w:szCs w:val="22"/>
        </w:rPr>
        <w:t>Frequency Division Duplexing (FDD)</w:t>
      </w:r>
      <w:r w:rsidR="006F5A8F">
        <w:rPr>
          <w:rFonts w:cs="Arial"/>
          <w:szCs w:val="22"/>
        </w:rPr>
        <w:t>,</w:t>
      </w:r>
      <w:r w:rsidR="006F5A8F" w:rsidRPr="006F5A8F" w:rsidDel="006F5A8F">
        <w:rPr>
          <w:rFonts w:cs="Arial"/>
          <w:szCs w:val="22"/>
        </w:rPr>
        <w:t xml:space="preserve"> </w:t>
      </w:r>
      <w:r w:rsidRPr="005273FE">
        <w:rPr>
          <w:rFonts w:cs="Arial"/>
          <w:szCs w:val="22"/>
        </w:rPr>
        <w:t xml:space="preserve">where one direction may sit underutilized </w:t>
      </w:r>
      <w:r w:rsidRPr="005273FE">
        <w:rPr>
          <w:rFonts w:cs="Arial"/>
          <w:szCs w:val="22"/>
        </w:rPr>
        <w:lastRenderedPageBreak/>
        <w:t>while the other is congested.  Telus echoes this statement in its comments</w:t>
      </w:r>
      <w:r w:rsidR="003671F3">
        <w:rPr>
          <w:rFonts w:cs="Arial"/>
          <w:szCs w:val="22"/>
        </w:rPr>
        <w:t>,</w:t>
      </w:r>
      <w:r w:rsidRPr="005273FE">
        <w:rPr>
          <w:rFonts w:cs="Arial"/>
          <w:szCs w:val="22"/>
        </w:rPr>
        <w:t xml:space="preserve"> that TDD use is </w:t>
      </w:r>
      <w:r>
        <w:rPr>
          <w:rFonts w:cs="Arial"/>
          <w:szCs w:val="22"/>
        </w:rPr>
        <w:t>"</w:t>
      </w:r>
      <w:r w:rsidRPr="005273FE">
        <w:rPr>
          <w:rFonts w:cs="Arial"/>
          <w:szCs w:val="22"/>
        </w:rPr>
        <w:t>technically superior to FDD use of the same spectrum for advanced antenna technologies</w:t>
      </w:r>
      <w:r>
        <w:rPr>
          <w:rFonts w:cs="Arial"/>
          <w:szCs w:val="22"/>
        </w:rPr>
        <w:t>"</w:t>
      </w:r>
      <w:r w:rsidRPr="005273FE">
        <w:rPr>
          <w:rFonts w:cs="Arial"/>
          <w:szCs w:val="22"/>
        </w:rPr>
        <w:t xml:space="preserve"> such as massive MIMO in 5G and beyond</w:t>
      </w:r>
      <w:r w:rsidR="00461E58">
        <w:rPr>
          <w:rFonts w:cs="Arial"/>
          <w:szCs w:val="22"/>
        </w:rPr>
        <w:t>.</w:t>
      </w:r>
      <w:r w:rsidR="006C00B4">
        <w:rPr>
          <w:rFonts w:cs="Arial"/>
          <w:szCs w:val="22"/>
        </w:rPr>
        <w:t xml:space="preserve"> </w:t>
      </w:r>
      <w:r w:rsidRPr="005273FE">
        <w:rPr>
          <w:rFonts w:cs="Arial"/>
          <w:szCs w:val="22"/>
        </w:rPr>
        <w:t xml:space="preserve"> </w:t>
      </w:r>
      <w:r w:rsidR="00461E58">
        <w:rPr>
          <w:rFonts w:cs="Arial"/>
          <w:szCs w:val="22"/>
        </w:rPr>
        <w:t>This is due to</w:t>
      </w:r>
      <w:r w:rsidR="00461E58" w:rsidRPr="005273FE">
        <w:rPr>
          <w:rFonts w:cs="Arial"/>
          <w:szCs w:val="22"/>
        </w:rPr>
        <w:t xml:space="preserve"> </w:t>
      </w:r>
      <w:r w:rsidRPr="005273FE">
        <w:rPr>
          <w:rFonts w:cs="Arial"/>
          <w:szCs w:val="22"/>
        </w:rPr>
        <w:t>channel reciprocity in TDD systems</w:t>
      </w:r>
      <w:r w:rsidR="006C00B4">
        <w:rPr>
          <w:rFonts w:cs="Arial"/>
          <w:szCs w:val="22"/>
        </w:rPr>
        <w:t>,</w:t>
      </w:r>
      <w:r w:rsidRPr="005273FE">
        <w:rPr>
          <w:rFonts w:cs="Arial"/>
          <w:szCs w:val="22"/>
        </w:rPr>
        <w:t xml:space="preserve"> </w:t>
      </w:r>
      <w:r w:rsidR="00461E58">
        <w:rPr>
          <w:rFonts w:cs="Arial"/>
          <w:szCs w:val="22"/>
        </w:rPr>
        <w:t xml:space="preserve">which </w:t>
      </w:r>
      <w:r w:rsidRPr="005273FE">
        <w:rPr>
          <w:rFonts w:cs="Arial"/>
          <w:szCs w:val="22"/>
        </w:rPr>
        <w:t xml:space="preserve">allows base stations to predict downlink signal paths using pilot symbol estimates in the uplink, </w:t>
      </w:r>
      <w:r w:rsidR="000B032D">
        <w:rPr>
          <w:rFonts w:cs="Arial"/>
          <w:szCs w:val="22"/>
        </w:rPr>
        <w:t xml:space="preserve">thus </w:t>
      </w:r>
      <w:r>
        <w:rPr>
          <w:rFonts w:cs="Arial"/>
          <w:szCs w:val="22"/>
        </w:rPr>
        <w:t>"</w:t>
      </w:r>
      <w:r w:rsidRPr="005273FE">
        <w:rPr>
          <w:rFonts w:cs="Arial"/>
          <w:szCs w:val="22"/>
        </w:rPr>
        <w:t>significantly boosting capacity without incurring a costly penalty of providing direct feedback of channel estimates.</w:t>
      </w:r>
      <w:r>
        <w:rPr>
          <w:rFonts w:cs="Arial"/>
          <w:szCs w:val="22"/>
        </w:rPr>
        <w:t>"</w:t>
      </w:r>
      <w:r w:rsidRPr="005273FE">
        <w:rPr>
          <w:rStyle w:val="FootnoteReference"/>
          <w:rFonts w:cs="Arial"/>
          <w:szCs w:val="22"/>
        </w:rPr>
        <w:footnoteReference w:id="20"/>
      </w:r>
      <w:r w:rsidRPr="005273FE">
        <w:rPr>
          <w:rFonts w:cs="Arial"/>
          <w:szCs w:val="22"/>
        </w:rPr>
        <w:t xml:space="preserve">  The transition to TDD also give</w:t>
      </w:r>
      <w:r w:rsidR="000B032D">
        <w:rPr>
          <w:rFonts w:cs="Arial"/>
          <w:szCs w:val="22"/>
        </w:rPr>
        <w:t>s</w:t>
      </w:r>
      <w:r w:rsidRPr="005273FE">
        <w:rPr>
          <w:rFonts w:cs="Arial"/>
          <w:szCs w:val="22"/>
        </w:rPr>
        <w:t xml:space="preserve"> Canadian mobile network operators (MNOs) full access to the well-established US Band 41 equipment and device ecosystem ensuring cost-effective and state-of-the-art equipment availability.</w:t>
      </w:r>
    </w:p>
    <w:p w14:paraId="100EE796" w14:textId="77777777" w:rsidR="00E93075" w:rsidRPr="005273FE" w:rsidRDefault="00E93075" w:rsidP="00D6774C">
      <w:pPr>
        <w:widowControl/>
        <w:tabs>
          <w:tab w:val="clear" w:pos="720"/>
        </w:tabs>
        <w:spacing w:line="360" w:lineRule="auto"/>
        <w:jc w:val="both"/>
        <w:rPr>
          <w:rFonts w:cs="Arial"/>
          <w:szCs w:val="22"/>
        </w:rPr>
      </w:pPr>
    </w:p>
    <w:p w14:paraId="7CD8CAC3" w14:textId="6C341697" w:rsidR="008D6630" w:rsidRDefault="00E93075" w:rsidP="00D6774C">
      <w:pPr>
        <w:widowControl/>
        <w:numPr>
          <w:ilvl w:val="0"/>
          <w:numId w:val="1"/>
        </w:numPr>
        <w:spacing w:line="360" w:lineRule="auto"/>
        <w:jc w:val="both"/>
        <w:rPr>
          <w:rFonts w:cs="Arial"/>
          <w:szCs w:val="22"/>
        </w:rPr>
      </w:pPr>
      <w:r w:rsidRPr="005273FE">
        <w:rPr>
          <w:rFonts w:cs="Arial"/>
          <w:szCs w:val="22"/>
        </w:rPr>
        <w:t xml:space="preserve">The cost of this transition are manageable through the proposed timelines. </w:t>
      </w:r>
      <w:r w:rsidR="002F6D7E">
        <w:rPr>
          <w:rFonts w:cs="Arial"/>
          <w:szCs w:val="22"/>
        </w:rPr>
        <w:t xml:space="preserve"> </w:t>
      </w:r>
      <w:r w:rsidRPr="005273FE">
        <w:rPr>
          <w:rFonts w:cs="Arial"/>
          <w:szCs w:val="22"/>
        </w:rPr>
        <w:t xml:space="preserve">As stated in our comments, structuring the transition over a sufficiently long timeframe will allow </w:t>
      </w:r>
      <w:r w:rsidR="00C604D0">
        <w:rPr>
          <w:rFonts w:cs="Arial"/>
          <w:szCs w:val="22"/>
        </w:rPr>
        <w:t>MNOs</w:t>
      </w:r>
      <w:r w:rsidR="00C604D0" w:rsidRPr="005273FE">
        <w:rPr>
          <w:rFonts w:cs="Arial"/>
          <w:szCs w:val="22"/>
        </w:rPr>
        <w:t xml:space="preserve"> </w:t>
      </w:r>
      <w:r w:rsidRPr="005273FE">
        <w:rPr>
          <w:rFonts w:cs="Arial"/>
          <w:szCs w:val="22"/>
        </w:rPr>
        <w:t xml:space="preserve">to incorporate the necessary equipment replacements into their regular network refresh cycles, </w:t>
      </w:r>
      <w:r>
        <w:rPr>
          <w:rFonts w:cs="Arial"/>
          <w:szCs w:val="22"/>
        </w:rPr>
        <w:t>"</w:t>
      </w:r>
      <w:r w:rsidRPr="005273FE">
        <w:rPr>
          <w:rFonts w:cs="Arial"/>
          <w:szCs w:val="22"/>
        </w:rPr>
        <w:t>rather than requiring accelerated or out-of-cycle capital expenditure.</w:t>
      </w:r>
      <w:r>
        <w:rPr>
          <w:rFonts w:cs="Arial"/>
          <w:szCs w:val="22"/>
        </w:rPr>
        <w:t>"</w:t>
      </w:r>
      <w:r w:rsidRPr="005273FE">
        <w:rPr>
          <w:rStyle w:val="FootnoteReference"/>
          <w:rFonts w:cs="Arial"/>
          <w:szCs w:val="22"/>
        </w:rPr>
        <w:footnoteReference w:id="21"/>
      </w:r>
      <w:r w:rsidRPr="005273FE">
        <w:rPr>
          <w:rFonts w:cs="Arial"/>
          <w:szCs w:val="22"/>
        </w:rPr>
        <w:t xml:space="preserve"> </w:t>
      </w:r>
      <w:r w:rsidR="006C00B4">
        <w:rPr>
          <w:rFonts w:cs="Arial"/>
          <w:szCs w:val="22"/>
        </w:rPr>
        <w:t xml:space="preserve"> </w:t>
      </w:r>
      <w:r w:rsidRPr="005273FE">
        <w:rPr>
          <w:rFonts w:cs="Arial"/>
          <w:szCs w:val="22"/>
        </w:rPr>
        <w:t xml:space="preserve">Other commenters </w:t>
      </w:r>
      <w:r w:rsidR="00B24CCB">
        <w:rPr>
          <w:rFonts w:cs="Arial"/>
          <w:szCs w:val="22"/>
        </w:rPr>
        <w:t xml:space="preserve">also note </w:t>
      </w:r>
      <w:r w:rsidRPr="005273FE">
        <w:rPr>
          <w:rFonts w:cs="Arial"/>
          <w:szCs w:val="22"/>
        </w:rPr>
        <w:t xml:space="preserve">that a gradual phased approach allows for staggered equipment deployment that spreads capital investment across many years. </w:t>
      </w:r>
      <w:r w:rsidR="008D6630">
        <w:rPr>
          <w:rFonts w:cs="Arial"/>
          <w:szCs w:val="22"/>
        </w:rPr>
        <w:t xml:space="preserve"> </w:t>
      </w:r>
      <w:r w:rsidRPr="005273FE">
        <w:rPr>
          <w:rFonts w:cs="Arial"/>
          <w:szCs w:val="22"/>
        </w:rPr>
        <w:t xml:space="preserve">Telus confirms that </w:t>
      </w:r>
    </w:p>
    <w:p w14:paraId="4DF5608E" w14:textId="77777777" w:rsidR="000153A5" w:rsidRDefault="000153A5" w:rsidP="00D6774C">
      <w:pPr>
        <w:pStyle w:val="ListParagraph"/>
        <w:spacing w:line="240" w:lineRule="auto"/>
        <w:ind w:left="0" w:firstLine="0"/>
        <w:jc w:val="both"/>
      </w:pPr>
    </w:p>
    <w:p w14:paraId="34C2BEBC" w14:textId="2748EAB7" w:rsidR="008D6630" w:rsidRDefault="00133E3D" w:rsidP="00D6774C">
      <w:pPr>
        <w:widowControl/>
        <w:tabs>
          <w:tab w:val="clear" w:pos="720"/>
        </w:tabs>
        <w:ind w:left="720" w:right="720"/>
        <w:jc w:val="both"/>
        <w:rPr>
          <w:rFonts w:cs="Arial"/>
          <w:szCs w:val="22"/>
        </w:rPr>
      </w:pPr>
      <w:r>
        <w:rPr>
          <w:rFonts w:cs="Arial"/>
          <w:szCs w:val="22"/>
        </w:rPr>
        <w:t>A</w:t>
      </w:r>
      <w:r w:rsidR="00E93075" w:rsidRPr="005273FE">
        <w:rPr>
          <w:rFonts w:cs="Arial"/>
          <w:szCs w:val="22"/>
        </w:rPr>
        <w:t>n industry-led three phase transition permits staggered equipment deployment, spreading the capital investment across multiple years and allows operators to align spectrum modernization with largely unaccelerated network refresh cycles.</w:t>
      </w:r>
      <w:r w:rsidR="00E93075" w:rsidRPr="005273FE">
        <w:rPr>
          <w:rStyle w:val="FootnoteReference"/>
          <w:rFonts w:cs="Arial"/>
          <w:szCs w:val="22"/>
        </w:rPr>
        <w:footnoteReference w:id="22"/>
      </w:r>
    </w:p>
    <w:p w14:paraId="660AE20C" w14:textId="77777777" w:rsidR="008D6630" w:rsidRDefault="008D6630" w:rsidP="00D6774C">
      <w:pPr>
        <w:widowControl/>
        <w:tabs>
          <w:tab w:val="clear" w:pos="720"/>
        </w:tabs>
        <w:spacing w:line="360" w:lineRule="auto"/>
        <w:jc w:val="both"/>
        <w:rPr>
          <w:rFonts w:cs="Arial"/>
          <w:szCs w:val="22"/>
        </w:rPr>
      </w:pPr>
    </w:p>
    <w:p w14:paraId="59627F73" w14:textId="77777777" w:rsidR="008D6630" w:rsidRDefault="00E93075" w:rsidP="00D6774C">
      <w:pPr>
        <w:widowControl/>
        <w:tabs>
          <w:tab w:val="clear" w:pos="720"/>
        </w:tabs>
        <w:spacing w:line="360" w:lineRule="auto"/>
        <w:jc w:val="both"/>
        <w:rPr>
          <w:rFonts w:cs="Arial"/>
          <w:szCs w:val="22"/>
        </w:rPr>
      </w:pPr>
      <w:r w:rsidRPr="005273FE">
        <w:rPr>
          <w:rFonts w:cs="Arial"/>
          <w:szCs w:val="22"/>
        </w:rPr>
        <w:t>Rogers further notes that the costs are</w:t>
      </w:r>
    </w:p>
    <w:p w14:paraId="1FF80A52" w14:textId="77777777" w:rsidR="000153A5" w:rsidRDefault="000153A5" w:rsidP="00D6774C">
      <w:pPr>
        <w:pStyle w:val="ListParagraph"/>
        <w:spacing w:line="240" w:lineRule="auto"/>
        <w:ind w:left="0" w:firstLine="0"/>
        <w:jc w:val="both"/>
      </w:pPr>
    </w:p>
    <w:p w14:paraId="60DCC82C" w14:textId="7F154A51" w:rsidR="008D6630" w:rsidRDefault="00E93075" w:rsidP="00D6774C">
      <w:pPr>
        <w:widowControl/>
        <w:tabs>
          <w:tab w:val="clear" w:pos="720"/>
        </w:tabs>
        <w:ind w:left="720" w:right="720"/>
        <w:jc w:val="both"/>
        <w:rPr>
          <w:rFonts w:cs="Arial"/>
          <w:szCs w:val="22"/>
        </w:rPr>
      </w:pPr>
      <w:r w:rsidRPr="005273FE">
        <w:rPr>
          <w:rFonts w:cs="Arial"/>
          <w:szCs w:val="22"/>
        </w:rPr>
        <w:t>not necessarily net new costs, as operators would have expected to make much of these investments over time through natural network enhancements resulting from refarming spectrum from 4G deployments and deploying 5G (or future 6G) equipment.</w:t>
      </w:r>
      <w:r w:rsidRPr="005273FE">
        <w:rPr>
          <w:rStyle w:val="FootnoteReference"/>
          <w:rFonts w:cs="Arial"/>
          <w:szCs w:val="22"/>
        </w:rPr>
        <w:footnoteReference w:id="23"/>
      </w:r>
    </w:p>
    <w:p w14:paraId="313A2C76" w14:textId="77777777" w:rsidR="008D6630" w:rsidRDefault="008D6630" w:rsidP="00D6774C">
      <w:pPr>
        <w:widowControl/>
        <w:tabs>
          <w:tab w:val="clear" w:pos="720"/>
        </w:tabs>
        <w:spacing w:line="360" w:lineRule="auto"/>
        <w:jc w:val="both"/>
        <w:rPr>
          <w:rFonts w:cs="Arial"/>
          <w:szCs w:val="22"/>
        </w:rPr>
      </w:pPr>
    </w:p>
    <w:p w14:paraId="26D71F1D" w14:textId="3C0AAF23" w:rsidR="00E93075" w:rsidRPr="005273FE" w:rsidRDefault="00E93075" w:rsidP="00D6774C">
      <w:pPr>
        <w:widowControl/>
        <w:tabs>
          <w:tab w:val="clear" w:pos="720"/>
        </w:tabs>
        <w:spacing w:line="360" w:lineRule="auto"/>
        <w:jc w:val="both"/>
        <w:rPr>
          <w:rFonts w:cs="Arial"/>
          <w:szCs w:val="22"/>
        </w:rPr>
      </w:pPr>
      <w:r w:rsidRPr="005273FE">
        <w:rPr>
          <w:rFonts w:cs="Arial"/>
          <w:szCs w:val="22"/>
        </w:rPr>
        <w:t xml:space="preserve">The three-phase timeline, with transitions </w:t>
      </w:r>
      <w:r w:rsidR="00B24CCB">
        <w:rPr>
          <w:rFonts w:cs="Arial"/>
          <w:szCs w:val="22"/>
        </w:rPr>
        <w:t xml:space="preserve">around </w:t>
      </w:r>
      <w:r w:rsidRPr="005273FE">
        <w:rPr>
          <w:rFonts w:cs="Arial"/>
          <w:szCs w:val="22"/>
        </w:rPr>
        <w:t xml:space="preserve">2033, 2035, and 2036, provides all </w:t>
      </w:r>
      <w:r w:rsidR="00B24CCB">
        <w:rPr>
          <w:rFonts w:cs="Arial"/>
          <w:szCs w:val="22"/>
        </w:rPr>
        <w:t>MNOs</w:t>
      </w:r>
      <w:r w:rsidRPr="005273FE">
        <w:rPr>
          <w:rFonts w:cs="Arial"/>
          <w:szCs w:val="22"/>
        </w:rPr>
        <w:t>, including Eastlink, with ample time to plan, budget, and execute the transition in a cost-effective manner.</w:t>
      </w:r>
    </w:p>
    <w:p w14:paraId="25D1692A" w14:textId="77777777" w:rsidR="00E93075" w:rsidRPr="005273FE" w:rsidRDefault="00E93075" w:rsidP="00D6774C">
      <w:pPr>
        <w:widowControl/>
        <w:tabs>
          <w:tab w:val="clear" w:pos="720"/>
        </w:tabs>
        <w:spacing w:line="360" w:lineRule="auto"/>
        <w:jc w:val="both"/>
        <w:rPr>
          <w:rFonts w:cs="Arial"/>
          <w:szCs w:val="22"/>
        </w:rPr>
      </w:pPr>
    </w:p>
    <w:p w14:paraId="53B1189E" w14:textId="3DA9B540" w:rsidR="00AA1BCD" w:rsidRDefault="00E93075" w:rsidP="00D6774C">
      <w:pPr>
        <w:widowControl/>
        <w:numPr>
          <w:ilvl w:val="0"/>
          <w:numId w:val="1"/>
        </w:numPr>
        <w:spacing w:line="360" w:lineRule="auto"/>
        <w:jc w:val="both"/>
        <w:rPr>
          <w:rFonts w:cs="Arial"/>
        </w:rPr>
      </w:pPr>
      <w:r w:rsidRPr="005273FE">
        <w:rPr>
          <w:rFonts w:cs="Arial"/>
        </w:rPr>
        <w:t xml:space="preserve">Telus suggests </w:t>
      </w:r>
      <w:r w:rsidR="00DE3502">
        <w:rPr>
          <w:rFonts w:cs="Arial"/>
        </w:rPr>
        <w:t xml:space="preserve">that </w:t>
      </w:r>
      <w:r w:rsidRPr="005273FE">
        <w:rPr>
          <w:rFonts w:cs="Arial"/>
        </w:rPr>
        <w:t xml:space="preserve">including the 2496-2500 MHz range in the new band plan to fully align with the US </w:t>
      </w:r>
      <w:r w:rsidR="005D2622">
        <w:rPr>
          <w:rFonts w:cs="Arial"/>
        </w:rPr>
        <w:t>Band 4</w:t>
      </w:r>
      <w:r w:rsidR="00BA6415">
        <w:rPr>
          <w:rFonts w:cs="Arial"/>
        </w:rPr>
        <w:t>1</w:t>
      </w:r>
      <w:r w:rsidR="005D2622" w:rsidRPr="005273FE">
        <w:rPr>
          <w:rFonts w:cs="Arial"/>
        </w:rPr>
        <w:t xml:space="preserve"> </w:t>
      </w:r>
      <w:r w:rsidRPr="005273FE">
        <w:rPr>
          <w:rFonts w:cs="Arial"/>
        </w:rPr>
        <w:t xml:space="preserve">allocation, noting that this would require revisions to the Canadian Table of </w:t>
      </w:r>
      <w:r w:rsidRPr="005273FE">
        <w:rPr>
          <w:rFonts w:cs="Arial"/>
        </w:rPr>
        <w:lastRenderedPageBreak/>
        <w:t>Frequency Allocations and Footnote C38.</w:t>
      </w:r>
      <w:r w:rsidRPr="005273FE">
        <w:rPr>
          <w:rStyle w:val="FootnoteReference"/>
          <w:rFonts w:cs="Arial"/>
        </w:rPr>
        <w:footnoteReference w:id="24"/>
      </w:r>
      <w:r w:rsidRPr="005273FE">
        <w:rPr>
          <w:rFonts w:cs="Arial"/>
        </w:rPr>
        <w:t xml:space="preserve">  We support Telus</w:t>
      </w:r>
      <w:r>
        <w:rPr>
          <w:rFonts w:cs="Arial"/>
        </w:rPr>
        <w:t>'</w:t>
      </w:r>
      <w:r w:rsidRPr="005273FE">
        <w:rPr>
          <w:rFonts w:cs="Arial"/>
        </w:rPr>
        <w:t xml:space="preserve"> proposal to extend the band to 2496 MHz, primarily to ensure full alignment with the US ecosystem.  Without this alignment, Canada would need to define different out-of-band emission limits at 2500 MHz rather than at 2496 MHz, which could lead to a Canada-specific equipment ecosystem that would be more costly and less readily available than the established US </w:t>
      </w:r>
      <w:r w:rsidR="005D2622">
        <w:rPr>
          <w:rFonts w:cs="Arial"/>
        </w:rPr>
        <w:t>Band 41</w:t>
      </w:r>
      <w:r w:rsidR="005D2622" w:rsidRPr="005273FE">
        <w:rPr>
          <w:rFonts w:cs="Arial"/>
        </w:rPr>
        <w:t xml:space="preserve"> </w:t>
      </w:r>
      <w:r w:rsidRPr="005273FE">
        <w:rPr>
          <w:rFonts w:cs="Arial"/>
        </w:rPr>
        <w:t>ecosystem.</w:t>
      </w:r>
    </w:p>
    <w:p w14:paraId="0630A441" w14:textId="77777777" w:rsidR="00AA1BCD" w:rsidRDefault="00AA1BCD" w:rsidP="00D6774C">
      <w:pPr>
        <w:widowControl/>
        <w:tabs>
          <w:tab w:val="clear" w:pos="720"/>
        </w:tabs>
        <w:spacing w:line="360" w:lineRule="auto"/>
        <w:jc w:val="both"/>
        <w:rPr>
          <w:rFonts w:cs="Arial"/>
        </w:rPr>
      </w:pPr>
    </w:p>
    <w:p w14:paraId="6DBC2AA0" w14:textId="19FAF9D2" w:rsidR="00E93075" w:rsidRDefault="00E93075" w:rsidP="00D6774C">
      <w:pPr>
        <w:widowControl/>
        <w:numPr>
          <w:ilvl w:val="0"/>
          <w:numId w:val="1"/>
        </w:numPr>
        <w:spacing w:line="360" w:lineRule="auto"/>
        <w:jc w:val="both"/>
        <w:rPr>
          <w:rFonts w:cs="Arial"/>
        </w:rPr>
      </w:pPr>
      <w:r w:rsidRPr="005273FE">
        <w:rPr>
          <w:rFonts w:cs="Arial"/>
        </w:rPr>
        <w:t xml:space="preserve">With respect to adjacent band protection, Globalstar has noted that it has no objection to the proposed band plan modifications, provided that incumbent </w:t>
      </w:r>
      <w:r w:rsidR="000153A5" w:rsidRPr="000153A5">
        <w:rPr>
          <w:rFonts w:cs="Arial"/>
        </w:rPr>
        <w:t>mobile satellite services (MSS)</w:t>
      </w:r>
      <w:r w:rsidR="000153A5">
        <w:rPr>
          <w:rFonts w:cs="Arial"/>
        </w:rPr>
        <w:t xml:space="preserve"> </w:t>
      </w:r>
      <w:r w:rsidRPr="005273FE">
        <w:rPr>
          <w:rFonts w:cs="Arial"/>
        </w:rPr>
        <w:t>in the adjacent 2483.5</w:t>
      </w:r>
      <w:r w:rsidR="00573F8E">
        <w:rPr>
          <w:rFonts w:cs="Arial"/>
        </w:rPr>
        <w:t>-</w:t>
      </w:r>
      <w:r w:rsidRPr="005273FE">
        <w:rPr>
          <w:rFonts w:cs="Arial"/>
        </w:rPr>
        <w:t xml:space="preserve">2500 MHz </w:t>
      </w:r>
      <w:r w:rsidR="00AA1BCD">
        <w:rPr>
          <w:rFonts w:cs="Arial"/>
        </w:rPr>
        <w:t xml:space="preserve">spectrum </w:t>
      </w:r>
      <w:r w:rsidRPr="005273FE">
        <w:rPr>
          <w:rFonts w:cs="Arial"/>
        </w:rPr>
        <w:t xml:space="preserve">band </w:t>
      </w:r>
      <w:r>
        <w:rPr>
          <w:rFonts w:cs="Arial"/>
        </w:rPr>
        <w:t>"</w:t>
      </w:r>
      <w:r w:rsidRPr="005273FE">
        <w:rPr>
          <w:rFonts w:cs="Arial"/>
        </w:rPr>
        <w:t>remain fully protected and are not adversely affected</w:t>
      </w:r>
      <w:r>
        <w:rPr>
          <w:rFonts w:cs="Arial"/>
        </w:rPr>
        <w:t>"</w:t>
      </w:r>
      <w:r w:rsidRPr="005273FE">
        <w:rPr>
          <w:rFonts w:cs="Arial"/>
        </w:rPr>
        <w:t>.</w:t>
      </w:r>
      <w:r w:rsidRPr="005273FE">
        <w:rPr>
          <w:rStyle w:val="FootnoteReference"/>
          <w:rFonts w:cs="Arial"/>
        </w:rPr>
        <w:footnoteReference w:id="25"/>
      </w:r>
      <w:r w:rsidR="000153A5">
        <w:rPr>
          <w:rFonts w:cs="Arial"/>
        </w:rPr>
        <w:t xml:space="preserve"> </w:t>
      </w:r>
      <w:r w:rsidRPr="005273FE">
        <w:rPr>
          <w:rFonts w:cs="Arial"/>
        </w:rPr>
        <w:t xml:space="preserve"> We note that Globalstar operates both in Canada and the </w:t>
      </w:r>
      <w:r w:rsidR="00302B65">
        <w:rPr>
          <w:rFonts w:cs="Arial"/>
        </w:rPr>
        <w:t>US</w:t>
      </w:r>
      <w:r w:rsidRPr="005273FE">
        <w:rPr>
          <w:rFonts w:cs="Arial"/>
        </w:rPr>
        <w:t>, and the US band plan already extends to 2496 MHz.</w:t>
      </w:r>
      <w:r w:rsidR="000153A5">
        <w:rPr>
          <w:rFonts w:cs="Arial"/>
        </w:rPr>
        <w:t xml:space="preserve"> </w:t>
      </w:r>
      <w:r w:rsidRPr="005273FE">
        <w:rPr>
          <w:rFonts w:cs="Arial"/>
        </w:rPr>
        <w:t xml:space="preserve"> </w:t>
      </w:r>
      <w:r w:rsidR="00302B65">
        <w:rPr>
          <w:rFonts w:cs="Arial"/>
        </w:rPr>
        <w:t xml:space="preserve">As a result, </w:t>
      </w:r>
      <w:r w:rsidRPr="005273FE">
        <w:rPr>
          <w:rFonts w:cs="Arial"/>
        </w:rPr>
        <w:t xml:space="preserve">Globalstar is </w:t>
      </w:r>
      <w:r w:rsidR="00CF278A">
        <w:rPr>
          <w:rFonts w:cs="Arial"/>
        </w:rPr>
        <w:t xml:space="preserve">already </w:t>
      </w:r>
      <w:r w:rsidRPr="005273FE">
        <w:rPr>
          <w:rFonts w:cs="Arial"/>
        </w:rPr>
        <w:t xml:space="preserve">successfully coexisting with US operators under the existing US technical limits in the </w:t>
      </w:r>
      <w:r w:rsidR="005D2622">
        <w:rPr>
          <w:rFonts w:cs="Arial"/>
        </w:rPr>
        <w:t>Band 41</w:t>
      </w:r>
      <w:r w:rsidRPr="005273FE">
        <w:rPr>
          <w:rFonts w:cs="Arial"/>
        </w:rPr>
        <w:t>, and we therefore do not foresee any problems in protecting Globalstar</w:t>
      </w:r>
      <w:r>
        <w:rPr>
          <w:rFonts w:cs="Arial"/>
        </w:rPr>
        <w:t>'</w:t>
      </w:r>
      <w:r w:rsidRPr="005273FE">
        <w:rPr>
          <w:rFonts w:cs="Arial"/>
        </w:rPr>
        <w:t>s services if Canada adopts the same band edge at 2496 MHz with equivalent out</w:t>
      </w:r>
      <w:r w:rsidR="006B26F5">
        <w:rPr>
          <w:rFonts w:cs="Arial"/>
        </w:rPr>
        <w:noBreakHyphen/>
      </w:r>
      <w:r w:rsidRPr="005273FE">
        <w:rPr>
          <w:rFonts w:cs="Arial"/>
        </w:rPr>
        <w:t>of</w:t>
      </w:r>
      <w:r w:rsidR="006B26F5">
        <w:rPr>
          <w:rFonts w:cs="Arial"/>
        </w:rPr>
        <w:noBreakHyphen/>
      </w:r>
      <w:r w:rsidRPr="005273FE">
        <w:rPr>
          <w:rFonts w:cs="Arial"/>
        </w:rPr>
        <w:t xml:space="preserve">band emission limits. </w:t>
      </w:r>
      <w:r w:rsidR="006B26F5">
        <w:rPr>
          <w:rFonts w:cs="Arial"/>
        </w:rPr>
        <w:t xml:space="preserve"> </w:t>
      </w:r>
      <w:r w:rsidRPr="005273FE">
        <w:rPr>
          <w:rFonts w:cs="Arial"/>
        </w:rPr>
        <w:t>Adopting the US limits would provide a proven framework for coexistence that has already been demonstrated in practice.</w:t>
      </w:r>
    </w:p>
    <w:p w14:paraId="2239BBF4" w14:textId="77777777" w:rsidR="00E3544F" w:rsidRDefault="00E3544F" w:rsidP="00D6774C">
      <w:pPr>
        <w:widowControl/>
        <w:spacing w:line="360" w:lineRule="auto"/>
        <w:jc w:val="both"/>
        <w:rPr>
          <w:rFonts w:cs="Arial"/>
        </w:rPr>
      </w:pPr>
    </w:p>
    <w:p w14:paraId="61DCA602" w14:textId="77777777" w:rsidR="00E3544F" w:rsidRPr="00E3544F" w:rsidRDefault="00E3544F" w:rsidP="00D6774C">
      <w:pPr>
        <w:pStyle w:val="Heading1"/>
      </w:pPr>
      <w:bookmarkStart w:id="4" w:name="_Toc228278082"/>
      <w:r w:rsidRPr="00E3544F">
        <w:t>TIMING FOR THE TRANSITION</w:t>
      </w:r>
      <w:bookmarkEnd w:id="4"/>
    </w:p>
    <w:p w14:paraId="68D9971B" w14:textId="77777777" w:rsidR="00E3544F" w:rsidRPr="00E3544F" w:rsidRDefault="00E3544F" w:rsidP="00D6774C">
      <w:pPr>
        <w:widowControl/>
        <w:spacing w:line="360" w:lineRule="auto"/>
        <w:jc w:val="both"/>
        <w:rPr>
          <w:rFonts w:cs="Arial"/>
        </w:rPr>
      </w:pPr>
    </w:p>
    <w:p w14:paraId="7E86D4BA" w14:textId="4B0606E4" w:rsidR="00E3544F" w:rsidRPr="00E3544F" w:rsidRDefault="00E3544F" w:rsidP="00D6774C">
      <w:pPr>
        <w:widowControl/>
        <w:tabs>
          <w:tab w:val="clear" w:pos="720"/>
        </w:tabs>
        <w:ind w:left="720" w:hanging="720"/>
        <w:jc w:val="both"/>
        <w:rPr>
          <w:rFonts w:cs="Arial"/>
          <w:b/>
          <w:bCs/>
        </w:rPr>
      </w:pPr>
      <w:r w:rsidRPr="00E3544F">
        <w:rPr>
          <w:rFonts w:cs="Arial"/>
          <w:b/>
          <w:bCs/>
        </w:rPr>
        <w:t>Q2.</w:t>
      </w:r>
      <w:r>
        <w:rPr>
          <w:rFonts w:cs="Arial"/>
          <w:b/>
          <w:bCs/>
        </w:rPr>
        <w:tab/>
      </w:r>
      <w:r w:rsidRPr="00E3544F">
        <w:rPr>
          <w:rFonts w:cs="Arial"/>
          <w:b/>
          <w:bCs/>
        </w:rPr>
        <w:t>ISED is seeking comments on whether starting the transition to an unpaired band plan in 2028 is appropriate and how long licensees may require to complete the transition.</w:t>
      </w:r>
    </w:p>
    <w:p w14:paraId="5041701C" w14:textId="77777777" w:rsidR="00E3544F" w:rsidRPr="005273FE" w:rsidRDefault="00E3544F" w:rsidP="00D6774C">
      <w:pPr>
        <w:widowControl/>
        <w:spacing w:line="360" w:lineRule="auto"/>
        <w:jc w:val="both"/>
        <w:rPr>
          <w:rFonts w:cs="Arial"/>
        </w:rPr>
      </w:pPr>
    </w:p>
    <w:p w14:paraId="6DCE46D5" w14:textId="5F8FDA62"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Commenters diverge on transition timing; some agree with ISED</w:t>
      </w:r>
      <w:r>
        <w:rPr>
          <w:rFonts w:cs="Arial"/>
          <w:szCs w:val="22"/>
        </w:rPr>
        <w:t>'</w:t>
      </w:r>
      <w:r w:rsidRPr="005273FE">
        <w:rPr>
          <w:rFonts w:cs="Arial"/>
          <w:szCs w:val="22"/>
        </w:rPr>
        <w:t>s proposal to begin transitioning in 2028 while others recommend delaying the transition.</w:t>
      </w:r>
      <w:r w:rsidR="002435E9">
        <w:rPr>
          <w:rFonts w:cs="Arial"/>
          <w:szCs w:val="22"/>
        </w:rPr>
        <w:t xml:space="preserve"> </w:t>
      </w:r>
      <w:r w:rsidRPr="005273FE">
        <w:rPr>
          <w:rFonts w:cs="Arial"/>
          <w:szCs w:val="22"/>
        </w:rPr>
        <w:t xml:space="preserve"> </w:t>
      </w:r>
      <w:r w:rsidR="00CF278A">
        <w:rPr>
          <w:rFonts w:cs="Arial"/>
          <w:szCs w:val="22"/>
        </w:rPr>
        <w:t xml:space="preserve">For example, </w:t>
      </w:r>
      <w:r w:rsidRPr="005273FE">
        <w:rPr>
          <w:rFonts w:cs="Arial"/>
          <w:szCs w:val="22"/>
        </w:rPr>
        <w:t>Cogeco proposes an accelerated timeline with Phase 1 (Ontario-Quebec) transitioning as early as 2028, Phase 2 in 2030, and Phase 3 in 2031</w:t>
      </w:r>
      <w:r w:rsidR="000E3DC8">
        <w:rPr>
          <w:rFonts w:cs="Arial"/>
          <w:szCs w:val="22"/>
        </w:rPr>
        <w:t>,</w:t>
      </w:r>
      <w:r w:rsidRPr="005273FE">
        <w:rPr>
          <w:rStyle w:val="FootnoteReference"/>
          <w:rFonts w:cs="Arial"/>
          <w:szCs w:val="22"/>
        </w:rPr>
        <w:footnoteReference w:id="26"/>
      </w:r>
      <w:r w:rsidRPr="005273FE">
        <w:rPr>
          <w:rFonts w:cs="Arial"/>
          <w:szCs w:val="22"/>
        </w:rPr>
        <w:t xml:space="preserve"> </w:t>
      </w:r>
      <w:r w:rsidR="000E3DC8">
        <w:rPr>
          <w:rFonts w:cs="Arial"/>
          <w:szCs w:val="22"/>
        </w:rPr>
        <w:t>w</w:t>
      </w:r>
      <w:r w:rsidRPr="005273FE">
        <w:rPr>
          <w:rFonts w:cs="Arial"/>
          <w:szCs w:val="22"/>
        </w:rPr>
        <w:t>hereas Eastlink proposes a five-year timeline that would not begin until 2035.</w:t>
      </w:r>
      <w:r w:rsidRPr="005273FE">
        <w:rPr>
          <w:rStyle w:val="FootnoteReference"/>
          <w:rFonts w:cs="Arial"/>
          <w:szCs w:val="22"/>
        </w:rPr>
        <w:footnoteReference w:id="27"/>
      </w:r>
      <w:r w:rsidRPr="005273FE">
        <w:rPr>
          <w:rFonts w:cs="Arial"/>
          <w:szCs w:val="22"/>
        </w:rPr>
        <w:t xml:space="preserve"> </w:t>
      </w:r>
      <w:r w:rsidR="002435E9">
        <w:rPr>
          <w:rFonts w:cs="Arial"/>
          <w:szCs w:val="22"/>
        </w:rPr>
        <w:t xml:space="preserve"> </w:t>
      </w:r>
      <w:r w:rsidRPr="005273FE">
        <w:rPr>
          <w:rFonts w:cs="Arial"/>
          <w:szCs w:val="22"/>
        </w:rPr>
        <w:t>We disagree with both recommendations</w:t>
      </w:r>
      <w:r w:rsidR="002435E9">
        <w:rPr>
          <w:rFonts w:cs="Arial"/>
          <w:szCs w:val="22"/>
        </w:rPr>
        <w:t>,</w:t>
      </w:r>
      <w:r w:rsidRPr="005273FE">
        <w:rPr>
          <w:rFonts w:cs="Arial"/>
          <w:szCs w:val="22"/>
        </w:rPr>
        <w:t xml:space="preserve"> and propose a phased</w:t>
      </w:r>
      <w:r w:rsidR="00573F8E">
        <w:rPr>
          <w:rFonts w:cs="Arial"/>
          <w:szCs w:val="22"/>
        </w:rPr>
        <w:noBreakHyphen/>
      </w:r>
      <w:r w:rsidRPr="005273FE">
        <w:rPr>
          <w:rFonts w:cs="Arial"/>
          <w:szCs w:val="22"/>
        </w:rPr>
        <w:t xml:space="preserve">in transition approach, with Canada divided into three zones with staggered transition deadlines.  </w:t>
      </w:r>
      <w:r w:rsidR="00014E49">
        <w:rPr>
          <w:rFonts w:cs="Arial"/>
          <w:szCs w:val="22"/>
        </w:rPr>
        <w:t>T</w:t>
      </w:r>
      <w:r w:rsidRPr="005273FE">
        <w:rPr>
          <w:rFonts w:cs="Arial"/>
          <w:szCs w:val="22"/>
        </w:rPr>
        <w:t>he initial transition would occur generally in Ontario and Quebec, followed by Atlantic Canada, Manitoba, Saskatchewan, Alberta, and British Columbia a few years later</w:t>
      </w:r>
      <w:r w:rsidR="002435E9">
        <w:rPr>
          <w:rFonts w:cs="Arial"/>
          <w:szCs w:val="22"/>
        </w:rPr>
        <w:t>,</w:t>
      </w:r>
      <w:r w:rsidRPr="005273FE">
        <w:rPr>
          <w:rFonts w:cs="Arial"/>
          <w:szCs w:val="22"/>
        </w:rPr>
        <w:t xml:space="preserve"> and then finally Yukon, Northwest Territories, and Nunavut, approximately </w:t>
      </w:r>
      <w:r w:rsidR="002435E9">
        <w:rPr>
          <w:rFonts w:cs="Arial"/>
          <w:szCs w:val="22"/>
        </w:rPr>
        <w:t>one</w:t>
      </w:r>
      <w:r w:rsidR="002435E9" w:rsidRPr="005273FE">
        <w:rPr>
          <w:rFonts w:cs="Arial"/>
          <w:szCs w:val="22"/>
        </w:rPr>
        <w:t xml:space="preserve"> </w:t>
      </w:r>
      <w:r w:rsidRPr="005273FE">
        <w:rPr>
          <w:rFonts w:cs="Arial"/>
          <w:szCs w:val="22"/>
        </w:rPr>
        <w:t xml:space="preserve">year after that.  The exact details and timing will be determined through stakeholder discussions over the next </w:t>
      </w:r>
      <w:r w:rsidR="002435E9">
        <w:rPr>
          <w:rFonts w:cs="Arial"/>
          <w:szCs w:val="22"/>
        </w:rPr>
        <w:t xml:space="preserve">few </w:t>
      </w:r>
      <w:r w:rsidRPr="005273FE">
        <w:rPr>
          <w:rFonts w:cs="Arial"/>
          <w:szCs w:val="22"/>
        </w:rPr>
        <w:t xml:space="preserve">years, but preliminary </w:t>
      </w:r>
      <w:r w:rsidRPr="005273FE">
        <w:rPr>
          <w:rFonts w:cs="Arial"/>
          <w:szCs w:val="22"/>
        </w:rPr>
        <w:lastRenderedPageBreak/>
        <w:t>views suggest an initial transition deadline for Ontario and Quebec around 2033, with transition deadlines for the remaining zones occurring a few years later.</w:t>
      </w:r>
    </w:p>
    <w:p w14:paraId="1D8046A0" w14:textId="77777777" w:rsidR="0015515C" w:rsidRPr="005273FE" w:rsidRDefault="0015515C" w:rsidP="00D6774C">
      <w:pPr>
        <w:widowControl/>
        <w:tabs>
          <w:tab w:val="clear" w:pos="720"/>
        </w:tabs>
        <w:spacing w:line="360" w:lineRule="auto"/>
        <w:jc w:val="both"/>
        <w:rPr>
          <w:rFonts w:cs="Arial"/>
          <w:szCs w:val="22"/>
        </w:rPr>
      </w:pPr>
    </w:p>
    <w:p w14:paraId="5D223BAB" w14:textId="470F1FB1"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 xml:space="preserve">MNOs, including ourselves, rely heavily on Band 7 spectrum, which is deployed extensively across existing networks.  A 2028 transition </w:t>
      </w:r>
      <w:r w:rsidR="00474B72">
        <w:rPr>
          <w:rFonts w:cs="Arial"/>
          <w:szCs w:val="22"/>
        </w:rPr>
        <w:t>date</w:t>
      </w:r>
      <w:r w:rsidR="00474B72" w:rsidRPr="005273FE">
        <w:rPr>
          <w:rFonts w:cs="Arial"/>
          <w:szCs w:val="22"/>
        </w:rPr>
        <w:t xml:space="preserve"> </w:t>
      </w:r>
      <w:r w:rsidRPr="005273FE">
        <w:rPr>
          <w:rFonts w:cs="Arial"/>
          <w:szCs w:val="22"/>
        </w:rPr>
        <w:t xml:space="preserve">would not allow operators a sufficient period to procure and install new hardware on towers and to plan funding </w:t>
      </w:r>
      <w:r w:rsidR="00474B72">
        <w:rPr>
          <w:rFonts w:cs="Arial"/>
          <w:szCs w:val="22"/>
        </w:rPr>
        <w:t xml:space="preserve">for </w:t>
      </w:r>
      <w:r w:rsidRPr="005273FE">
        <w:rPr>
          <w:rFonts w:cs="Arial"/>
          <w:szCs w:val="22"/>
        </w:rPr>
        <w:t xml:space="preserve">the transition.  Moreover, equipment manufacturers do not have certified Band 41 equipment available in Canada.  Time will be needed for equipment manufacturers to obtain Canadian product certification and build sufficient </w:t>
      </w:r>
      <w:r w:rsidR="00C67201">
        <w:rPr>
          <w:rFonts w:cs="Arial"/>
          <w:szCs w:val="22"/>
        </w:rPr>
        <w:t>inventory</w:t>
      </w:r>
      <w:r w:rsidR="00C67201" w:rsidRPr="005273FE">
        <w:rPr>
          <w:rFonts w:cs="Arial"/>
          <w:szCs w:val="22"/>
        </w:rPr>
        <w:t xml:space="preserve"> </w:t>
      </w:r>
      <w:r w:rsidRPr="005273FE">
        <w:rPr>
          <w:rFonts w:cs="Arial"/>
          <w:szCs w:val="22"/>
        </w:rPr>
        <w:t xml:space="preserve">for </w:t>
      </w:r>
      <w:r w:rsidR="00C67201">
        <w:rPr>
          <w:rFonts w:cs="Arial"/>
          <w:szCs w:val="22"/>
        </w:rPr>
        <w:t>MNOs</w:t>
      </w:r>
      <w:r w:rsidRPr="005273FE">
        <w:rPr>
          <w:rFonts w:cs="Arial"/>
          <w:szCs w:val="22"/>
        </w:rPr>
        <w:t xml:space="preserve">. </w:t>
      </w:r>
      <w:r w:rsidR="00474B72">
        <w:rPr>
          <w:rFonts w:cs="Arial"/>
          <w:szCs w:val="22"/>
        </w:rPr>
        <w:t xml:space="preserve"> </w:t>
      </w:r>
      <w:r w:rsidRPr="005273FE">
        <w:rPr>
          <w:rFonts w:cs="Arial"/>
          <w:szCs w:val="22"/>
        </w:rPr>
        <w:t xml:space="preserve">Telus and Rogers </w:t>
      </w:r>
      <w:r w:rsidR="00B23E58">
        <w:rPr>
          <w:rFonts w:cs="Arial"/>
          <w:szCs w:val="22"/>
        </w:rPr>
        <w:t>made similar comments</w:t>
      </w:r>
      <w:r w:rsidRPr="005273FE">
        <w:rPr>
          <w:rFonts w:cs="Arial"/>
          <w:szCs w:val="22"/>
        </w:rPr>
        <w:t xml:space="preserve">.  Specifically, Telus confirms that </w:t>
      </w:r>
      <w:r>
        <w:rPr>
          <w:rFonts w:cs="Arial"/>
          <w:szCs w:val="22"/>
        </w:rPr>
        <w:t>"</w:t>
      </w:r>
      <w:r w:rsidRPr="005273FE">
        <w:rPr>
          <w:rFonts w:cs="Arial"/>
          <w:szCs w:val="22"/>
        </w:rPr>
        <w:t>the Consultation</w:t>
      </w:r>
      <w:r>
        <w:rPr>
          <w:rFonts w:cs="Arial"/>
          <w:szCs w:val="22"/>
        </w:rPr>
        <w:t>'</w:t>
      </w:r>
      <w:r w:rsidRPr="005273FE">
        <w:rPr>
          <w:rFonts w:cs="Arial"/>
          <w:szCs w:val="22"/>
        </w:rPr>
        <w:t>s proposed 2028 transition start is impractical</w:t>
      </w:r>
      <w:r>
        <w:rPr>
          <w:rFonts w:cs="Arial"/>
          <w:szCs w:val="22"/>
        </w:rPr>
        <w:t>"</w:t>
      </w:r>
      <w:r w:rsidRPr="005273FE">
        <w:rPr>
          <w:rFonts w:cs="Arial"/>
          <w:szCs w:val="22"/>
        </w:rPr>
        <w:t xml:space="preserve"> and that from an equipment availability viewpoint alone, </w:t>
      </w:r>
      <w:r>
        <w:rPr>
          <w:rFonts w:cs="Arial"/>
          <w:szCs w:val="22"/>
        </w:rPr>
        <w:t>"</w:t>
      </w:r>
      <w:r w:rsidRPr="005273FE">
        <w:rPr>
          <w:rFonts w:cs="Arial"/>
          <w:szCs w:val="22"/>
        </w:rPr>
        <w:t>initial transition readiness in the Canadian markets would not be feasible until 2029-2030</w:t>
      </w:r>
      <w:r>
        <w:rPr>
          <w:rFonts w:cs="Arial"/>
          <w:szCs w:val="22"/>
        </w:rPr>
        <w:t>"</w:t>
      </w:r>
      <w:r w:rsidRPr="005273FE">
        <w:rPr>
          <w:rFonts w:cs="Arial"/>
          <w:szCs w:val="22"/>
        </w:rPr>
        <w:t>.</w:t>
      </w:r>
      <w:r w:rsidRPr="005273FE">
        <w:rPr>
          <w:rStyle w:val="FootnoteReference"/>
          <w:rFonts w:cs="Arial"/>
          <w:szCs w:val="22"/>
        </w:rPr>
        <w:footnoteReference w:id="28"/>
      </w:r>
      <w:r w:rsidRPr="005273FE">
        <w:rPr>
          <w:rFonts w:cs="Arial"/>
          <w:szCs w:val="22"/>
        </w:rPr>
        <w:t xml:space="preserve">  Rogers similarly notes that a mid-2027 </w:t>
      </w:r>
      <w:r w:rsidR="00474B72">
        <w:rPr>
          <w:rFonts w:cs="Arial"/>
          <w:szCs w:val="22"/>
        </w:rPr>
        <w:t>date</w:t>
      </w:r>
      <w:r w:rsidRPr="005273FE">
        <w:rPr>
          <w:rFonts w:cs="Arial"/>
          <w:szCs w:val="22"/>
        </w:rPr>
        <w:t>, followed by standards publication in late 2027, would give operators just one year (2028) to work with equipment suppliers before deployments could begin in 2029.</w:t>
      </w:r>
      <w:r w:rsidRPr="005273FE">
        <w:rPr>
          <w:rStyle w:val="FootnoteReference"/>
          <w:rFonts w:cs="Arial"/>
          <w:szCs w:val="22"/>
        </w:rPr>
        <w:footnoteReference w:id="29"/>
      </w:r>
      <w:r w:rsidRPr="005273FE">
        <w:rPr>
          <w:rFonts w:cs="Arial"/>
          <w:szCs w:val="22"/>
        </w:rPr>
        <w:t xml:space="preserve">  A 2028 transition date simply does not provide sufficient time for the necessary regulatory prerequisites, equipment certification, and deployment preparation</w:t>
      </w:r>
      <w:r w:rsidR="00B23E58">
        <w:rPr>
          <w:rFonts w:cs="Arial"/>
          <w:szCs w:val="22"/>
        </w:rPr>
        <w:t xml:space="preserve"> to occur</w:t>
      </w:r>
      <w:r w:rsidRPr="005273FE">
        <w:rPr>
          <w:rFonts w:cs="Arial"/>
          <w:szCs w:val="22"/>
        </w:rPr>
        <w:t>.</w:t>
      </w:r>
    </w:p>
    <w:p w14:paraId="0557FD45" w14:textId="77777777" w:rsidR="0015515C" w:rsidRPr="005273FE" w:rsidRDefault="0015515C" w:rsidP="00D6774C">
      <w:pPr>
        <w:widowControl/>
        <w:tabs>
          <w:tab w:val="clear" w:pos="720"/>
        </w:tabs>
        <w:spacing w:line="360" w:lineRule="auto"/>
        <w:jc w:val="both"/>
        <w:rPr>
          <w:rFonts w:cs="Arial"/>
          <w:szCs w:val="22"/>
        </w:rPr>
      </w:pPr>
    </w:p>
    <w:p w14:paraId="1B9BF3FF" w14:textId="445A5EFD"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In contrast, Eastlink</w:t>
      </w:r>
      <w:r>
        <w:rPr>
          <w:rFonts w:cs="Arial"/>
          <w:szCs w:val="22"/>
        </w:rPr>
        <w:t>'</w:t>
      </w:r>
      <w:r w:rsidRPr="005273FE">
        <w:rPr>
          <w:rFonts w:cs="Arial"/>
          <w:szCs w:val="22"/>
        </w:rPr>
        <w:t xml:space="preserve">s proposal for a delayed transition until 2035 would perpetuate the cross-border interference issues for an additional decade and prevent Canadian </w:t>
      </w:r>
      <w:r w:rsidR="00B23E58">
        <w:rPr>
          <w:rFonts w:cs="Arial"/>
          <w:szCs w:val="22"/>
        </w:rPr>
        <w:t>MNOs</w:t>
      </w:r>
      <w:r w:rsidR="00B23E58" w:rsidRPr="005273FE">
        <w:rPr>
          <w:rFonts w:cs="Arial"/>
          <w:szCs w:val="22"/>
        </w:rPr>
        <w:t xml:space="preserve"> </w:t>
      </w:r>
      <w:r w:rsidRPr="005273FE">
        <w:rPr>
          <w:rFonts w:cs="Arial"/>
          <w:szCs w:val="22"/>
        </w:rPr>
        <w:t xml:space="preserve">from realizing the efficiency gains of a TDD band plan during a critical period of 5G network deployment.  As Nokia observes, the US has identified the adjacent band 2690-2900 MHz as potential 6G spectrum under the </w:t>
      </w:r>
      <w:r w:rsidRPr="005273FE">
        <w:rPr>
          <w:rFonts w:cs="Arial"/>
          <w:i/>
          <w:iCs/>
          <w:szCs w:val="22"/>
        </w:rPr>
        <w:t>One Big Beautiful Bill Act</w:t>
      </w:r>
      <w:r w:rsidRPr="005273FE">
        <w:rPr>
          <w:rFonts w:cs="Arial"/>
          <w:szCs w:val="22"/>
        </w:rPr>
        <w:t xml:space="preserve">, and aligning the 2500 MHz band plan with the </w:t>
      </w:r>
      <w:r w:rsidR="003A2436" w:rsidRPr="003A2436">
        <w:rPr>
          <w:rFonts w:cs="Arial"/>
          <w:szCs w:val="22"/>
        </w:rPr>
        <w:t>Band 41</w:t>
      </w:r>
      <w:r w:rsidR="003A2436">
        <w:rPr>
          <w:rFonts w:cs="Arial"/>
          <w:szCs w:val="22"/>
        </w:rPr>
        <w:t xml:space="preserve"> </w:t>
      </w:r>
      <w:r w:rsidRPr="005273FE">
        <w:rPr>
          <w:rFonts w:cs="Arial"/>
          <w:szCs w:val="22"/>
        </w:rPr>
        <w:t xml:space="preserve">ecosystem is </w:t>
      </w:r>
      <w:r>
        <w:rPr>
          <w:rFonts w:cs="Arial"/>
          <w:szCs w:val="22"/>
        </w:rPr>
        <w:t>"</w:t>
      </w:r>
      <w:r w:rsidRPr="005273FE">
        <w:rPr>
          <w:rFonts w:cs="Arial"/>
          <w:szCs w:val="22"/>
        </w:rPr>
        <w:t>essential to leverage ongoing developments in adjacent band, paving the way for 6G spectrum.</w:t>
      </w:r>
      <w:r>
        <w:rPr>
          <w:rFonts w:cs="Arial"/>
          <w:szCs w:val="22"/>
        </w:rPr>
        <w:t>"</w:t>
      </w:r>
      <w:r w:rsidRPr="005273FE">
        <w:rPr>
          <w:rStyle w:val="FootnoteReference"/>
          <w:rFonts w:cs="Arial"/>
          <w:szCs w:val="22"/>
        </w:rPr>
        <w:footnoteReference w:id="30"/>
      </w:r>
      <w:r w:rsidRPr="005273FE">
        <w:rPr>
          <w:rFonts w:cs="Arial"/>
          <w:szCs w:val="22"/>
        </w:rPr>
        <w:t xml:space="preserve">  Delaying the start of the transition to 2035, with completion potentially extending to 2040 under Eastlink</w:t>
      </w:r>
      <w:r>
        <w:rPr>
          <w:rFonts w:cs="Arial"/>
          <w:szCs w:val="22"/>
        </w:rPr>
        <w:t>'</w:t>
      </w:r>
      <w:r w:rsidRPr="005273FE">
        <w:rPr>
          <w:rFonts w:cs="Arial"/>
          <w:szCs w:val="22"/>
        </w:rPr>
        <w:t>s proposed five-year timeline, would jeopardize Canada</w:t>
      </w:r>
      <w:r>
        <w:rPr>
          <w:rFonts w:cs="Arial"/>
          <w:szCs w:val="22"/>
        </w:rPr>
        <w:t>'</w:t>
      </w:r>
      <w:r w:rsidRPr="005273FE">
        <w:rPr>
          <w:rFonts w:cs="Arial"/>
          <w:szCs w:val="22"/>
        </w:rPr>
        <w:t xml:space="preserve">s ability to leverage this extended TDD band for 6G </w:t>
      </w:r>
      <w:r w:rsidR="00B23E58">
        <w:rPr>
          <w:rFonts w:cs="Arial"/>
          <w:szCs w:val="22"/>
        </w:rPr>
        <w:t xml:space="preserve">services </w:t>
      </w:r>
      <w:r w:rsidRPr="005273FE">
        <w:rPr>
          <w:rFonts w:cs="Arial"/>
          <w:szCs w:val="22"/>
        </w:rPr>
        <w:t xml:space="preserve">and would perpetuate spectrum fragmentation well beyond what is </w:t>
      </w:r>
      <w:r w:rsidR="00573F8E">
        <w:rPr>
          <w:rFonts w:cs="Arial"/>
          <w:szCs w:val="22"/>
        </w:rPr>
        <w:t>necessary</w:t>
      </w:r>
      <w:r w:rsidRPr="005273FE">
        <w:rPr>
          <w:rFonts w:cs="Arial"/>
          <w:szCs w:val="22"/>
        </w:rPr>
        <w:t>.</w:t>
      </w:r>
    </w:p>
    <w:p w14:paraId="48EC2C64" w14:textId="77777777" w:rsidR="0015515C" w:rsidRPr="005273FE" w:rsidRDefault="0015515C" w:rsidP="00D6774C">
      <w:pPr>
        <w:widowControl/>
        <w:tabs>
          <w:tab w:val="clear" w:pos="720"/>
        </w:tabs>
        <w:spacing w:line="360" w:lineRule="auto"/>
        <w:jc w:val="both"/>
        <w:rPr>
          <w:rFonts w:cs="Arial"/>
          <w:szCs w:val="22"/>
        </w:rPr>
      </w:pPr>
    </w:p>
    <w:p w14:paraId="276FDF5B" w14:textId="49AAD6D8"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 xml:space="preserve">Our recommendation for a phased-in approach prioritizes the areas most impacted by cross-border interference while also providing significant 5G capacity upgrades to large metropolitan markets in Ontario and Quebec first.  It also allows enough time for equipment vendors to bring new products to market and for operators to test equipment before deploying it </w:t>
      </w:r>
      <w:r w:rsidRPr="005273FE">
        <w:rPr>
          <w:rFonts w:cs="Arial"/>
          <w:szCs w:val="22"/>
        </w:rPr>
        <w:lastRenderedPageBreak/>
        <w:t xml:space="preserve">in production environments. </w:t>
      </w:r>
      <w:r w:rsidR="005B65B7">
        <w:rPr>
          <w:rFonts w:cs="Arial"/>
          <w:szCs w:val="22"/>
        </w:rPr>
        <w:t xml:space="preserve"> </w:t>
      </w:r>
      <w:r w:rsidRPr="005273FE">
        <w:rPr>
          <w:rFonts w:cs="Arial"/>
          <w:szCs w:val="22"/>
        </w:rPr>
        <w:t>Other commenters made similar recommendations</w:t>
      </w:r>
      <w:r w:rsidR="005B65B7">
        <w:rPr>
          <w:rFonts w:cs="Arial"/>
          <w:szCs w:val="22"/>
        </w:rPr>
        <w:t>;</w:t>
      </w:r>
      <w:r w:rsidRPr="005273FE">
        <w:rPr>
          <w:rFonts w:cs="Arial"/>
          <w:szCs w:val="22"/>
        </w:rPr>
        <w:t xml:space="preserve"> for example, Rogers recommends that </w:t>
      </w:r>
      <w:r>
        <w:rPr>
          <w:rFonts w:cs="Arial"/>
          <w:szCs w:val="22"/>
        </w:rPr>
        <w:t>"</w:t>
      </w:r>
      <w:r w:rsidRPr="005273FE">
        <w:rPr>
          <w:rFonts w:cs="Arial"/>
          <w:szCs w:val="22"/>
        </w:rPr>
        <w:t>the transition process be completed in three stages, with deployments starting in 2029 and the actual transitions to start in 2033</w:t>
      </w:r>
      <w:r>
        <w:rPr>
          <w:rFonts w:cs="Arial"/>
          <w:szCs w:val="22"/>
        </w:rPr>
        <w:t>"</w:t>
      </w:r>
      <w:r w:rsidRPr="005273FE">
        <w:rPr>
          <w:rFonts w:cs="Arial"/>
          <w:szCs w:val="22"/>
        </w:rPr>
        <w:t>.</w:t>
      </w:r>
      <w:r w:rsidRPr="005273FE">
        <w:rPr>
          <w:rStyle w:val="FootnoteReference"/>
          <w:rFonts w:cs="Arial"/>
          <w:szCs w:val="22"/>
        </w:rPr>
        <w:footnoteReference w:id="31"/>
      </w:r>
      <w:r w:rsidRPr="005273FE">
        <w:rPr>
          <w:rFonts w:cs="Arial"/>
          <w:szCs w:val="22"/>
        </w:rPr>
        <w:t xml:space="preserve"> </w:t>
      </w:r>
      <w:r w:rsidR="005B65B7">
        <w:rPr>
          <w:rFonts w:cs="Arial"/>
          <w:szCs w:val="22"/>
        </w:rPr>
        <w:t xml:space="preserve"> </w:t>
      </w:r>
      <w:r w:rsidRPr="005273FE">
        <w:rPr>
          <w:rFonts w:cs="Arial"/>
          <w:szCs w:val="22"/>
        </w:rPr>
        <w:t>Telus, Sask</w:t>
      </w:r>
      <w:r w:rsidR="0025718C">
        <w:rPr>
          <w:rFonts w:cs="Arial"/>
          <w:szCs w:val="22"/>
        </w:rPr>
        <w:t>t</w:t>
      </w:r>
      <w:r w:rsidRPr="005273FE">
        <w:rPr>
          <w:rFonts w:cs="Arial"/>
          <w:szCs w:val="22"/>
        </w:rPr>
        <w:t>el and Qu</w:t>
      </w:r>
      <w:r w:rsidR="0025718C">
        <w:rPr>
          <w:rFonts w:cs="Arial"/>
          <w:szCs w:val="22"/>
        </w:rPr>
        <w:t>e</w:t>
      </w:r>
      <w:r w:rsidRPr="005273FE">
        <w:rPr>
          <w:rFonts w:cs="Arial"/>
          <w:szCs w:val="22"/>
        </w:rPr>
        <w:t>b</w:t>
      </w:r>
      <w:r w:rsidR="0025718C">
        <w:rPr>
          <w:rFonts w:cs="Arial"/>
          <w:szCs w:val="22"/>
        </w:rPr>
        <w:t>e</w:t>
      </w:r>
      <w:r w:rsidRPr="005273FE">
        <w:rPr>
          <w:rFonts w:cs="Arial"/>
          <w:szCs w:val="22"/>
        </w:rPr>
        <w:t>cor likewise support a three-phase transition commencing in 2033 and concluding in 2036.</w:t>
      </w:r>
      <w:r w:rsidRPr="005273FE">
        <w:rPr>
          <w:rStyle w:val="FootnoteReference"/>
          <w:rFonts w:cs="Arial"/>
          <w:szCs w:val="22"/>
        </w:rPr>
        <w:footnoteReference w:id="32"/>
      </w:r>
      <w:r w:rsidRPr="005273FE">
        <w:rPr>
          <w:rFonts w:cs="Arial"/>
          <w:szCs w:val="22"/>
        </w:rPr>
        <w:t xml:space="preserve">  This proposed timing also provides time for equipment vendors to bring new products (including potential 6G operability) to market.  We further propose </w:t>
      </w:r>
      <w:r w:rsidR="005B65B7">
        <w:rPr>
          <w:rFonts w:cs="Arial"/>
          <w:szCs w:val="22"/>
        </w:rPr>
        <w:t xml:space="preserve">that </w:t>
      </w:r>
      <w:r w:rsidRPr="005273FE">
        <w:rPr>
          <w:rFonts w:cs="Arial"/>
          <w:szCs w:val="22"/>
        </w:rPr>
        <w:t>ISED facilitate a process through which licensees can collaboratively determine the most appropriate process</w:t>
      </w:r>
      <w:r w:rsidR="005B65B7">
        <w:rPr>
          <w:rFonts w:cs="Arial"/>
          <w:szCs w:val="22"/>
        </w:rPr>
        <w:t>,</w:t>
      </w:r>
      <w:r w:rsidRPr="005273FE">
        <w:rPr>
          <w:rFonts w:cs="Arial"/>
          <w:szCs w:val="22"/>
        </w:rPr>
        <w:t xml:space="preserve"> which considers equipment availability, capital planning cycles, and the operational realities of managing a band</w:t>
      </w:r>
      <w:r w:rsidR="005B65B7">
        <w:rPr>
          <w:rFonts w:cs="Arial"/>
          <w:szCs w:val="22"/>
        </w:rPr>
        <w:noBreakHyphen/>
      </w:r>
      <w:r w:rsidRPr="005273FE">
        <w:rPr>
          <w:rFonts w:cs="Arial"/>
          <w:szCs w:val="22"/>
        </w:rPr>
        <w:t>wide technology transition.</w:t>
      </w:r>
    </w:p>
    <w:p w14:paraId="09D87689" w14:textId="77777777" w:rsidR="0015515C" w:rsidRPr="005273FE" w:rsidRDefault="0015515C" w:rsidP="00D6774C">
      <w:pPr>
        <w:widowControl/>
        <w:spacing w:line="360" w:lineRule="auto"/>
        <w:jc w:val="both"/>
        <w:rPr>
          <w:rFonts w:cs="Arial"/>
          <w:szCs w:val="22"/>
        </w:rPr>
      </w:pPr>
    </w:p>
    <w:p w14:paraId="50481C64" w14:textId="16851502"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 xml:space="preserve">Telus recommends the following three proposals. </w:t>
      </w:r>
      <w:r w:rsidR="005B65B7">
        <w:rPr>
          <w:rFonts w:cs="Arial"/>
          <w:szCs w:val="22"/>
        </w:rPr>
        <w:t xml:space="preserve"> </w:t>
      </w:r>
      <w:r w:rsidRPr="005273FE">
        <w:rPr>
          <w:rFonts w:cs="Arial"/>
          <w:szCs w:val="22"/>
        </w:rPr>
        <w:t xml:space="preserve">First, that </w:t>
      </w:r>
      <w:r>
        <w:rPr>
          <w:rFonts w:cs="Arial"/>
          <w:szCs w:val="22"/>
        </w:rPr>
        <w:t>"</w:t>
      </w:r>
      <w:r w:rsidRPr="005273FE">
        <w:rPr>
          <w:rFonts w:cs="Arial"/>
          <w:szCs w:val="22"/>
        </w:rPr>
        <w:t>ISED begin the process of updating 2500 MHz standards (RSS-199/SRSP-517) with a goal that the technical standards be completed at least two years prior to commencement of the transition.</w:t>
      </w:r>
      <w:r>
        <w:rPr>
          <w:rFonts w:cs="Arial"/>
          <w:szCs w:val="22"/>
        </w:rPr>
        <w:t>"</w:t>
      </w:r>
      <w:r w:rsidRPr="005273FE">
        <w:rPr>
          <w:rStyle w:val="FootnoteReference"/>
          <w:rFonts w:cs="Arial"/>
          <w:szCs w:val="22"/>
        </w:rPr>
        <w:footnoteReference w:id="33"/>
      </w:r>
      <w:r w:rsidRPr="005273FE">
        <w:rPr>
          <w:rFonts w:cs="Arial"/>
          <w:szCs w:val="22"/>
        </w:rPr>
        <w:t xml:space="preserve"> </w:t>
      </w:r>
      <w:r w:rsidR="005B65B7">
        <w:rPr>
          <w:rFonts w:cs="Arial"/>
          <w:szCs w:val="22"/>
        </w:rPr>
        <w:t xml:space="preserve"> </w:t>
      </w:r>
      <w:r w:rsidRPr="005273FE">
        <w:rPr>
          <w:rFonts w:cs="Arial"/>
          <w:szCs w:val="22"/>
        </w:rPr>
        <w:t xml:space="preserve">We agree with their recommendation. </w:t>
      </w:r>
      <w:r w:rsidR="00BF3575">
        <w:rPr>
          <w:rFonts w:cs="Arial"/>
          <w:szCs w:val="22"/>
        </w:rPr>
        <w:t xml:space="preserve"> </w:t>
      </w:r>
      <w:r w:rsidRPr="005273FE">
        <w:rPr>
          <w:rFonts w:cs="Arial"/>
          <w:szCs w:val="22"/>
        </w:rPr>
        <w:t>ISED should aim to finalize updates to the relevant RSS and SRSP documents for the band at the earliest opportunity, so that Band 41 equipment can be certified in Canada.  This is a prerequisite for the transition to proceed.</w:t>
      </w:r>
    </w:p>
    <w:p w14:paraId="79761220" w14:textId="77777777" w:rsidR="0015515C" w:rsidRPr="005273FE" w:rsidRDefault="0015515C" w:rsidP="00D6774C">
      <w:pPr>
        <w:widowControl/>
        <w:spacing w:line="360" w:lineRule="auto"/>
        <w:jc w:val="both"/>
        <w:rPr>
          <w:rFonts w:cs="Arial"/>
          <w:szCs w:val="22"/>
        </w:rPr>
      </w:pPr>
    </w:p>
    <w:p w14:paraId="41A241BF" w14:textId="77777777" w:rsidR="0015515C" w:rsidRPr="005273FE" w:rsidRDefault="0015515C" w:rsidP="00D6774C">
      <w:pPr>
        <w:widowControl/>
        <w:numPr>
          <w:ilvl w:val="0"/>
          <w:numId w:val="1"/>
        </w:numPr>
        <w:spacing w:line="360" w:lineRule="auto"/>
        <w:jc w:val="both"/>
        <w:rPr>
          <w:rFonts w:cs="Arial"/>
          <w:szCs w:val="22"/>
        </w:rPr>
      </w:pPr>
      <w:r w:rsidRPr="005273FE">
        <w:rPr>
          <w:rFonts w:cs="Arial"/>
          <w:szCs w:val="22"/>
        </w:rPr>
        <w:t xml:space="preserve">Second, Telus proposes that ISED </w:t>
      </w:r>
      <w:r>
        <w:rPr>
          <w:rFonts w:cs="Arial"/>
          <w:szCs w:val="22"/>
        </w:rPr>
        <w:t>"</w:t>
      </w:r>
      <w:r w:rsidRPr="005273FE">
        <w:rPr>
          <w:rFonts w:cs="Arial"/>
          <w:szCs w:val="22"/>
        </w:rPr>
        <w:t>assign interim overlay licences according to new TDD assignments as a bridge to enable both transition and renewal</w:t>
      </w:r>
      <w:r>
        <w:rPr>
          <w:rFonts w:cs="Arial"/>
          <w:szCs w:val="22"/>
        </w:rPr>
        <w:t>"</w:t>
      </w:r>
      <w:r w:rsidRPr="005273FE">
        <w:rPr>
          <w:rFonts w:cs="Arial"/>
          <w:szCs w:val="22"/>
        </w:rPr>
        <w:t>.</w:t>
      </w:r>
      <w:r w:rsidRPr="005273FE">
        <w:rPr>
          <w:rStyle w:val="FootnoteReference"/>
          <w:rFonts w:cs="Arial"/>
          <w:szCs w:val="22"/>
        </w:rPr>
        <w:footnoteReference w:id="34"/>
      </w:r>
      <w:r w:rsidRPr="005273FE">
        <w:rPr>
          <w:rFonts w:cs="Arial"/>
          <w:szCs w:val="22"/>
        </w:rPr>
        <w:t xml:space="preserve">  Telus raises a legitimate concern regarding the </w:t>
      </w:r>
      <w:r>
        <w:rPr>
          <w:rFonts w:cs="Arial"/>
          <w:szCs w:val="22"/>
        </w:rPr>
        <w:t>"</w:t>
      </w:r>
      <w:r w:rsidRPr="005273FE">
        <w:rPr>
          <w:rFonts w:cs="Arial"/>
          <w:szCs w:val="22"/>
        </w:rPr>
        <w:t>patchwork of licences with disparate expiry dates, staggered mid-term assessment dates, and vastly different licence fees obligations</w:t>
      </w:r>
      <w:r>
        <w:rPr>
          <w:rFonts w:cs="Arial"/>
          <w:szCs w:val="22"/>
        </w:rPr>
        <w:t>"</w:t>
      </w:r>
      <w:r w:rsidRPr="005273FE">
        <w:rPr>
          <w:rStyle w:val="FootnoteReference"/>
          <w:rFonts w:cs="Arial"/>
          <w:szCs w:val="22"/>
        </w:rPr>
        <w:footnoteReference w:id="35"/>
      </w:r>
      <w:r w:rsidRPr="005273FE">
        <w:rPr>
          <w:rFonts w:cs="Arial"/>
          <w:szCs w:val="22"/>
        </w:rPr>
        <w:t xml:space="preserve"> that complicates the transition.  We agree that the heterogeneous nature of existing licence characteristics presents a practical challenge that ISED must address.  Whether through interim overlay licences or an alternative regulatory mechanism, it is essential that ISED provide a clear framework that enables licensees to plan and execute the transition without being encumbered by mismatched licence attributes.</w:t>
      </w:r>
    </w:p>
    <w:p w14:paraId="08C11A6D" w14:textId="77777777" w:rsidR="0015515C" w:rsidRPr="005273FE" w:rsidRDefault="0015515C" w:rsidP="00D6774C">
      <w:pPr>
        <w:widowControl/>
        <w:tabs>
          <w:tab w:val="clear" w:pos="720"/>
        </w:tabs>
        <w:spacing w:line="360" w:lineRule="auto"/>
        <w:jc w:val="both"/>
        <w:rPr>
          <w:rFonts w:cs="Arial"/>
          <w:szCs w:val="22"/>
        </w:rPr>
      </w:pPr>
    </w:p>
    <w:p w14:paraId="731F797F" w14:textId="67A746BB" w:rsidR="0015515C" w:rsidRDefault="0015515C" w:rsidP="00D6774C">
      <w:pPr>
        <w:widowControl/>
        <w:numPr>
          <w:ilvl w:val="0"/>
          <w:numId w:val="1"/>
        </w:numPr>
        <w:spacing w:line="360" w:lineRule="auto"/>
        <w:jc w:val="both"/>
        <w:rPr>
          <w:rFonts w:cs="Arial"/>
          <w:szCs w:val="22"/>
        </w:rPr>
      </w:pPr>
      <w:r w:rsidRPr="005273FE">
        <w:rPr>
          <w:rFonts w:cs="Arial"/>
          <w:szCs w:val="22"/>
        </w:rPr>
        <w:t>Lastly, we agree with Telus</w:t>
      </w:r>
      <w:r>
        <w:rPr>
          <w:rFonts w:cs="Arial"/>
          <w:szCs w:val="22"/>
        </w:rPr>
        <w:t>'</w:t>
      </w:r>
      <w:r w:rsidRPr="005273FE">
        <w:rPr>
          <w:rFonts w:cs="Arial"/>
          <w:szCs w:val="22"/>
        </w:rPr>
        <w:t xml:space="preserve"> recommendation that ISED </w:t>
      </w:r>
      <w:r>
        <w:rPr>
          <w:rFonts w:cs="Arial"/>
          <w:szCs w:val="22"/>
        </w:rPr>
        <w:t>"</w:t>
      </w:r>
      <w:r w:rsidRPr="005273FE">
        <w:rPr>
          <w:rFonts w:cs="Arial"/>
          <w:szCs w:val="22"/>
        </w:rPr>
        <w:t>consult and publish an early renewal policy decision</w:t>
      </w:r>
      <w:r>
        <w:rPr>
          <w:rFonts w:cs="Arial"/>
          <w:szCs w:val="22"/>
        </w:rPr>
        <w:t>"</w:t>
      </w:r>
      <w:r w:rsidRPr="005273FE">
        <w:rPr>
          <w:rStyle w:val="FootnoteReference"/>
          <w:rFonts w:cs="Arial"/>
          <w:szCs w:val="22"/>
        </w:rPr>
        <w:footnoteReference w:id="36"/>
      </w:r>
      <w:r w:rsidRPr="005273FE">
        <w:rPr>
          <w:rFonts w:cs="Arial"/>
          <w:szCs w:val="22"/>
        </w:rPr>
        <w:t xml:space="preserve"> that links existing FDD deployment to licence renewal eligibility.  Licensees who have met their deployment requirements under the current </w:t>
      </w:r>
      <w:r w:rsidR="007C3878">
        <w:rPr>
          <w:rFonts w:cs="Arial"/>
          <w:szCs w:val="22"/>
        </w:rPr>
        <w:t xml:space="preserve">2500 MHz spectrum </w:t>
      </w:r>
      <w:r w:rsidRPr="005273FE">
        <w:rPr>
          <w:rFonts w:cs="Arial"/>
          <w:szCs w:val="22"/>
        </w:rPr>
        <w:lastRenderedPageBreak/>
        <w:t xml:space="preserve">band plan </w:t>
      </w:r>
      <w:r w:rsidR="007C3878">
        <w:rPr>
          <w:rFonts w:cs="Arial"/>
          <w:szCs w:val="22"/>
        </w:rPr>
        <w:t xml:space="preserve">and conditions of licence </w:t>
      </w:r>
      <w:r w:rsidRPr="005273FE">
        <w:rPr>
          <w:rFonts w:cs="Arial"/>
          <w:szCs w:val="22"/>
        </w:rPr>
        <w:t>should receive regulatory certainty regarding their eligibility for renewed licence terms under the new TDD band plan.  This assurance is necessary to maintain the investment incentives required for operators to commit significant capital to the transition.</w:t>
      </w:r>
    </w:p>
    <w:p w14:paraId="51D701A4" w14:textId="77777777" w:rsidR="0015515C" w:rsidRDefault="0015515C" w:rsidP="00D6774C">
      <w:pPr>
        <w:widowControl/>
        <w:spacing w:line="360" w:lineRule="auto"/>
        <w:jc w:val="both"/>
        <w:rPr>
          <w:rFonts w:cs="Arial"/>
          <w:szCs w:val="22"/>
        </w:rPr>
      </w:pPr>
    </w:p>
    <w:p w14:paraId="4C9967C4" w14:textId="77777777" w:rsidR="0015515C" w:rsidRPr="0015515C" w:rsidRDefault="0015515C" w:rsidP="00D6774C">
      <w:pPr>
        <w:pStyle w:val="Heading1"/>
      </w:pPr>
      <w:bookmarkStart w:id="5" w:name="_Toc228278083"/>
      <w:r w:rsidRPr="0015515C">
        <w:t>EXISTING 2500 MHZ DEPLOYMENT REQUIREMENTS</w:t>
      </w:r>
      <w:bookmarkEnd w:id="5"/>
    </w:p>
    <w:p w14:paraId="342E99B4" w14:textId="77777777" w:rsidR="0015515C" w:rsidRPr="0015515C" w:rsidRDefault="0015515C" w:rsidP="00D6774C">
      <w:pPr>
        <w:widowControl/>
        <w:spacing w:line="360" w:lineRule="auto"/>
        <w:jc w:val="both"/>
        <w:rPr>
          <w:rFonts w:cs="Arial"/>
          <w:szCs w:val="22"/>
        </w:rPr>
      </w:pPr>
    </w:p>
    <w:p w14:paraId="7ACB5D83" w14:textId="26AA4486" w:rsidR="0015515C" w:rsidRPr="0015515C" w:rsidRDefault="0015515C" w:rsidP="00D6774C">
      <w:pPr>
        <w:widowControl/>
        <w:tabs>
          <w:tab w:val="clear" w:pos="720"/>
        </w:tabs>
        <w:ind w:left="720" w:hanging="720"/>
        <w:jc w:val="both"/>
        <w:rPr>
          <w:rFonts w:cs="Arial"/>
          <w:b/>
          <w:bCs/>
          <w:szCs w:val="22"/>
        </w:rPr>
      </w:pPr>
      <w:r w:rsidRPr="0015515C">
        <w:rPr>
          <w:rFonts w:cs="Arial"/>
          <w:b/>
          <w:bCs/>
          <w:szCs w:val="22"/>
        </w:rPr>
        <w:t>Q3.</w:t>
      </w:r>
      <w:r w:rsidRPr="0015515C">
        <w:rPr>
          <w:rFonts w:cs="Arial"/>
          <w:b/>
          <w:bCs/>
          <w:szCs w:val="22"/>
        </w:rPr>
        <w:tab/>
        <w:t>ISED is seeking comments on whether deployment requirements should be adjusted in anticipation of transition to the new band plan.</w:t>
      </w:r>
    </w:p>
    <w:p w14:paraId="2DFA564A" w14:textId="77777777" w:rsidR="0015515C" w:rsidRPr="005273FE" w:rsidRDefault="0015515C" w:rsidP="00D6774C">
      <w:pPr>
        <w:widowControl/>
        <w:spacing w:line="360" w:lineRule="auto"/>
        <w:jc w:val="both"/>
        <w:rPr>
          <w:rFonts w:cs="Arial"/>
          <w:szCs w:val="22"/>
        </w:rPr>
      </w:pPr>
    </w:p>
    <w:p w14:paraId="755DC165" w14:textId="1C6C3CDA" w:rsidR="007C3B16" w:rsidRPr="005273FE" w:rsidRDefault="007C3B16" w:rsidP="00D6774C">
      <w:pPr>
        <w:widowControl/>
        <w:numPr>
          <w:ilvl w:val="0"/>
          <w:numId w:val="1"/>
        </w:numPr>
        <w:spacing w:line="360" w:lineRule="auto"/>
        <w:jc w:val="both"/>
        <w:rPr>
          <w:rFonts w:cs="Arial"/>
        </w:rPr>
      </w:pPr>
      <w:r w:rsidRPr="005273FE">
        <w:rPr>
          <w:rFonts w:cs="Arial"/>
          <w:szCs w:val="22"/>
        </w:rPr>
        <w:t xml:space="preserve">All commenters made similar recommendations to </w:t>
      </w:r>
      <w:r w:rsidR="002C1F69">
        <w:rPr>
          <w:rFonts w:cs="Arial"/>
          <w:szCs w:val="22"/>
        </w:rPr>
        <w:t>our own,</w:t>
      </w:r>
      <w:r w:rsidR="002C1F69" w:rsidRPr="005273FE">
        <w:rPr>
          <w:rFonts w:cs="Arial"/>
          <w:szCs w:val="22"/>
        </w:rPr>
        <w:t xml:space="preserve"> </w:t>
      </w:r>
      <w:r w:rsidRPr="005273FE">
        <w:rPr>
          <w:rFonts w:cs="Arial"/>
          <w:szCs w:val="22"/>
        </w:rPr>
        <w:t>that ISED impose a hold on the enforcement of deployment requirements effective as of the date of ISED</w:t>
      </w:r>
      <w:r>
        <w:rPr>
          <w:rFonts w:cs="Arial"/>
          <w:szCs w:val="22"/>
        </w:rPr>
        <w:t>'</w:t>
      </w:r>
      <w:r w:rsidRPr="005273FE">
        <w:rPr>
          <w:rFonts w:cs="Arial"/>
          <w:szCs w:val="22"/>
        </w:rPr>
        <w:t xml:space="preserve">s decision on this consultation.  Telus </w:t>
      </w:r>
      <w:r w:rsidR="00471843">
        <w:rPr>
          <w:rFonts w:cs="Arial"/>
          <w:szCs w:val="22"/>
        </w:rPr>
        <w:t>argues</w:t>
      </w:r>
      <w:r w:rsidR="00471843" w:rsidRPr="005273FE">
        <w:rPr>
          <w:rFonts w:cs="Arial"/>
          <w:szCs w:val="22"/>
        </w:rPr>
        <w:t xml:space="preserve"> </w:t>
      </w:r>
      <w:r w:rsidRPr="005273FE">
        <w:rPr>
          <w:rFonts w:cs="Arial"/>
          <w:szCs w:val="22"/>
        </w:rPr>
        <w:t xml:space="preserve">that </w:t>
      </w:r>
      <w:r>
        <w:rPr>
          <w:rFonts w:cs="Arial"/>
          <w:szCs w:val="22"/>
        </w:rPr>
        <w:t>"</w:t>
      </w:r>
      <w:r w:rsidRPr="005273FE">
        <w:rPr>
          <w:rFonts w:cs="Arial"/>
          <w:szCs w:val="22"/>
        </w:rPr>
        <w:t>all regulatory assessments should be paused until a decision is reached on the re-banding of 2500-2690 MHz</w:t>
      </w:r>
      <w:r>
        <w:rPr>
          <w:rFonts w:cs="Arial"/>
          <w:szCs w:val="22"/>
        </w:rPr>
        <w:t>"</w:t>
      </w:r>
      <w:r w:rsidRPr="005273FE">
        <w:rPr>
          <w:rStyle w:val="FootnoteReference"/>
          <w:rFonts w:cs="Arial"/>
          <w:szCs w:val="22"/>
        </w:rPr>
        <w:footnoteReference w:id="37"/>
      </w:r>
      <w:r w:rsidRPr="005273FE">
        <w:rPr>
          <w:rFonts w:cs="Arial"/>
          <w:szCs w:val="22"/>
        </w:rPr>
        <w:t xml:space="preserve"> </w:t>
      </w:r>
      <w:r w:rsidR="000355A6">
        <w:rPr>
          <w:rFonts w:cs="Arial"/>
          <w:szCs w:val="22"/>
        </w:rPr>
        <w:t xml:space="preserve">and </w:t>
      </w:r>
      <w:r w:rsidRPr="005273FE">
        <w:rPr>
          <w:rFonts w:cs="Arial"/>
          <w:szCs w:val="22"/>
        </w:rPr>
        <w:t xml:space="preserve">Cogeco </w:t>
      </w:r>
      <w:r>
        <w:rPr>
          <w:rFonts w:cs="Arial"/>
          <w:szCs w:val="22"/>
        </w:rPr>
        <w:t>"</w:t>
      </w:r>
      <w:r w:rsidRPr="005273FE">
        <w:rPr>
          <w:rFonts w:cs="Arial"/>
          <w:szCs w:val="22"/>
        </w:rPr>
        <w:t>maintains that deployment requirements must be either relaxed or suspended leading up to and throughout the transition period to prevent the inefficient allocation of capital toward legacy technologies.</w:t>
      </w:r>
      <w:r>
        <w:rPr>
          <w:rFonts w:cs="Arial"/>
          <w:szCs w:val="22"/>
        </w:rPr>
        <w:t>"</w:t>
      </w:r>
      <w:r w:rsidRPr="005273FE">
        <w:rPr>
          <w:rStyle w:val="FootnoteReference"/>
          <w:rFonts w:cs="Arial"/>
          <w:szCs w:val="22"/>
        </w:rPr>
        <w:footnoteReference w:id="38"/>
      </w:r>
      <w:r w:rsidRPr="005273FE">
        <w:rPr>
          <w:rFonts w:cs="Arial"/>
          <w:szCs w:val="22"/>
        </w:rPr>
        <w:t xml:space="preserve">  Sasktel, Ecotel</w:t>
      </w:r>
      <w:r w:rsidR="002C1F69">
        <w:rPr>
          <w:rFonts w:cs="Arial"/>
          <w:szCs w:val="22"/>
        </w:rPr>
        <w:t>,</w:t>
      </w:r>
      <w:r w:rsidRPr="005273FE">
        <w:rPr>
          <w:rFonts w:cs="Arial"/>
          <w:szCs w:val="22"/>
        </w:rPr>
        <w:t xml:space="preserve"> and Qu</w:t>
      </w:r>
      <w:r w:rsidR="0025718C">
        <w:rPr>
          <w:rFonts w:cs="Arial"/>
          <w:szCs w:val="22"/>
        </w:rPr>
        <w:t>e</w:t>
      </w:r>
      <w:r w:rsidRPr="005273FE">
        <w:rPr>
          <w:rFonts w:cs="Arial"/>
          <w:szCs w:val="22"/>
        </w:rPr>
        <w:t>b</w:t>
      </w:r>
      <w:r w:rsidR="0025718C">
        <w:rPr>
          <w:rFonts w:cs="Arial"/>
          <w:szCs w:val="22"/>
        </w:rPr>
        <w:t>e</w:t>
      </w:r>
      <w:r w:rsidRPr="005273FE">
        <w:rPr>
          <w:rFonts w:cs="Arial"/>
          <w:szCs w:val="22"/>
        </w:rPr>
        <w:t xml:space="preserve">cor similarly argue that </w:t>
      </w:r>
      <w:r w:rsidR="002C1F69">
        <w:rPr>
          <w:rFonts w:cs="Arial"/>
          <w:szCs w:val="22"/>
        </w:rPr>
        <w:t xml:space="preserve">the </w:t>
      </w:r>
      <w:r w:rsidRPr="005273FE">
        <w:rPr>
          <w:rFonts w:cs="Arial"/>
          <w:szCs w:val="22"/>
        </w:rPr>
        <w:t xml:space="preserve">relaxation of deployment obligations is necessary, effective upon </w:t>
      </w:r>
      <w:r w:rsidR="002C1F69">
        <w:rPr>
          <w:rFonts w:cs="Arial"/>
          <w:szCs w:val="22"/>
        </w:rPr>
        <w:t xml:space="preserve">the </w:t>
      </w:r>
      <w:r w:rsidRPr="005273FE">
        <w:rPr>
          <w:rFonts w:cs="Arial"/>
          <w:szCs w:val="22"/>
        </w:rPr>
        <w:t>publication of ISED</w:t>
      </w:r>
      <w:r>
        <w:rPr>
          <w:rFonts w:cs="Arial"/>
          <w:szCs w:val="22"/>
        </w:rPr>
        <w:t>'</w:t>
      </w:r>
      <w:r w:rsidRPr="005273FE">
        <w:rPr>
          <w:rFonts w:cs="Arial"/>
          <w:szCs w:val="22"/>
        </w:rPr>
        <w:t>s decision.</w:t>
      </w:r>
      <w:r w:rsidRPr="005273FE">
        <w:rPr>
          <w:rStyle w:val="FootnoteReference"/>
          <w:rFonts w:cs="Arial"/>
          <w:szCs w:val="22"/>
        </w:rPr>
        <w:footnoteReference w:id="39"/>
      </w:r>
      <w:r w:rsidRPr="005273FE">
        <w:rPr>
          <w:rFonts w:cs="Arial"/>
          <w:szCs w:val="22"/>
        </w:rPr>
        <w:t xml:space="preserve">  Many commenters, including ourselves</w:t>
      </w:r>
      <w:r w:rsidR="002C1F69">
        <w:rPr>
          <w:rFonts w:cs="Arial"/>
          <w:szCs w:val="22"/>
        </w:rPr>
        <w:t>,</w:t>
      </w:r>
      <w:r w:rsidRPr="005273FE">
        <w:rPr>
          <w:rFonts w:cs="Arial"/>
          <w:szCs w:val="22"/>
        </w:rPr>
        <w:t xml:space="preserve"> </w:t>
      </w:r>
      <w:r w:rsidRPr="005273FE">
        <w:rPr>
          <w:rFonts w:cs="Arial"/>
        </w:rPr>
        <w:t>recommended that ISED provide a five-year post-transition grace period for licensees to meet deployment requirements using new Band 41 infrastructure.</w:t>
      </w:r>
      <w:r w:rsidRPr="005273FE">
        <w:rPr>
          <w:rStyle w:val="FootnoteReference"/>
          <w:rFonts w:cs="Arial"/>
        </w:rPr>
        <w:footnoteReference w:id="40"/>
      </w:r>
      <w:r w:rsidRPr="005273FE">
        <w:rPr>
          <w:rFonts w:cs="Arial"/>
        </w:rPr>
        <w:t xml:space="preserve">  Specifically Rogers states that a five</w:t>
      </w:r>
      <w:r w:rsidR="002C1F69">
        <w:rPr>
          <w:rFonts w:cs="Arial"/>
        </w:rPr>
        <w:noBreakHyphen/>
      </w:r>
      <w:r w:rsidRPr="005273FE">
        <w:rPr>
          <w:rFonts w:cs="Arial"/>
        </w:rPr>
        <w:t xml:space="preserve">year grace period would </w:t>
      </w:r>
      <w:r>
        <w:rPr>
          <w:rFonts w:cs="Arial"/>
        </w:rPr>
        <w:t>"</w:t>
      </w:r>
      <w:r w:rsidRPr="005273FE">
        <w:rPr>
          <w:rFonts w:cs="Arial"/>
        </w:rPr>
        <w:t>ensure a successful migration by all</w:t>
      </w:r>
      <w:r>
        <w:rPr>
          <w:rFonts w:cs="Arial"/>
        </w:rPr>
        <w:t>"</w:t>
      </w:r>
      <w:r w:rsidRPr="005273FE">
        <w:rPr>
          <w:rFonts w:cs="Arial"/>
        </w:rPr>
        <w:t xml:space="preserve"> and would be a </w:t>
      </w:r>
      <w:r>
        <w:rPr>
          <w:rFonts w:cs="Arial"/>
        </w:rPr>
        <w:t>"</w:t>
      </w:r>
      <w:r w:rsidRPr="005273FE">
        <w:rPr>
          <w:rFonts w:cs="Arial"/>
        </w:rPr>
        <w:t>fair and reasonable approach.</w:t>
      </w:r>
      <w:r>
        <w:rPr>
          <w:rFonts w:cs="Arial"/>
        </w:rPr>
        <w:t>"</w:t>
      </w:r>
      <w:r w:rsidRPr="005273FE">
        <w:rPr>
          <w:rStyle w:val="FootnoteReference"/>
          <w:rFonts w:cs="Arial"/>
        </w:rPr>
        <w:footnoteReference w:id="41"/>
      </w:r>
      <w:r w:rsidR="000355A6">
        <w:rPr>
          <w:rFonts w:cs="Arial"/>
        </w:rPr>
        <w:t xml:space="preserve"> </w:t>
      </w:r>
      <w:r w:rsidR="007776E6">
        <w:rPr>
          <w:rFonts w:cs="Arial"/>
        </w:rPr>
        <w:t xml:space="preserve"> </w:t>
      </w:r>
      <w:r w:rsidR="000355A6">
        <w:rPr>
          <w:rFonts w:cs="Arial"/>
        </w:rPr>
        <w:t>We agree.</w:t>
      </w:r>
    </w:p>
    <w:p w14:paraId="28D14750" w14:textId="77777777" w:rsidR="007C3B16" w:rsidRPr="005273FE" w:rsidRDefault="007C3B16" w:rsidP="00D6774C">
      <w:pPr>
        <w:widowControl/>
        <w:tabs>
          <w:tab w:val="clear" w:pos="720"/>
        </w:tabs>
        <w:spacing w:line="360" w:lineRule="auto"/>
        <w:jc w:val="both"/>
        <w:rPr>
          <w:rFonts w:cs="Arial"/>
          <w:szCs w:val="22"/>
        </w:rPr>
      </w:pPr>
    </w:p>
    <w:p w14:paraId="7FA99935" w14:textId="41D3FDE2" w:rsidR="007C3B16" w:rsidRDefault="007C3B16" w:rsidP="00D6774C">
      <w:pPr>
        <w:widowControl/>
        <w:numPr>
          <w:ilvl w:val="0"/>
          <w:numId w:val="1"/>
        </w:numPr>
        <w:spacing w:line="360" w:lineRule="auto"/>
        <w:jc w:val="both"/>
        <w:rPr>
          <w:rFonts w:cs="Arial"/>
          <w:szCs w:val="22"/>
        </w:rPr>
      </w:pPr>
      <w:r w:rsidRPr="005273FE">
        <w:rPr>
          <w:rFonts w:cs="Arial"/>
          <w:szCs w:val="22"/>
        </w:rPr>
        <w:t xml:space="preserve">Additionally, Cogeco suggests that ISED </w:t>
      </w:r>
      <w:r>
        <w:rPr>
          <w:rFonts w:cs="Arial"/>
          <w:szCs w:val="22"/>
        </w:rPr>
        <w:t>"</w:t>
      </w:r>
      <w:r w:rsidRPr="005273FE">
        <w:rPr>
          <w:rFonts w:cs="Arial"/>
          <w:szCs w:val="22"/>
        </w:rPr>
        <w:t>permit the deployment of TDD-capable equipment, such as Band 41 hardware, to satisfy existing deployment requirements, irrespective of whether the formal transition has concluded in a specific market</w:t>
      </w:r>
      <w:r>
        <w:rPr>
          <w:rFonts w:cs="Arial"/>
          <w:szCs w:val="22"/>
        </w:rPr>
        <w:t>"</w:t>
      </w:r>
      <w:r w:rsidRPr="005273FE">
        <w:rPr>
          <w:rFonts w:cs="Arial"/>
          <w:szCs w:val="22"/>
        </w:rPr>
        <w:t>.</w:t>
      </w:r>
      <w:r w:rsidRPr="005273FE">
        <w:rPr>
          <w:rStyle w:val="FootnoteReference"/>
          <w:rFonts w:cs="Arial"/>
          <w:szCs w:val="22"/>
        </w:rPr>
        <w:footnoteReference w:id="42"/>
      </w:r>
      <w:r w:rsidRPr="005273FE">
        <w:rPr>
          <w:rFonts w:cs="Arial"/>
          <w:szCs w:val="22"/>
        </w:rPr>
        <w:t xml:space="preserve">  We support this proposal as a practical measure that would allow </w:t>
      </w:r>
      <w:r w:rsidR="000355A6">
        <w:rPr>
          <w:rFonts w:cs="Arial"/>
          <w:szCs w:val="22"/>
        </w:rPr>
        <w:t>MNOs</w:t>
      </w:r>
      <w:r w:rsidR="000355A6" w:rsidRPr="005273FE">
        <w:rPr>
          <w:rFonts w:cs="Arial"/>
          <w:szCs w:val="22"/>
        </w:rPr>
        <w:t xml:space="preserve"> </w:t>
      </w:r>
      <w:r w:rsidRPr="005273FE">
        <w:rPr>
          <w:rFonts w:cs="Arial"/>
          <w:szCs w:val="22"/>
        </w:rPr>
        <w:t>to invest in future-ready infrastructure rather than legacy equipment during the transition period.</w:t>
      </w:r>
    </w:p>
    <w:p w14:paraId="6C411492" w14:textId="5CFC20CC" w:rsidR="00D859C2" w:rsidRDefault="00D859C2" w:rsidP="00D6774C">
      <w:pPr>
        <w:widowControl/>
        <w:tabs>
          <w:tab w:val="clear" w:pos="720"/>
        </w:tabs>
        <w:spacing w:line="259" w:lineRule="auto"/>
        <w:rPr>
          <w:rFonts w:cs="Arial"/>
          <w:szCs w:val="22"/>
        </w:rPr>
      </w:pPr>
      <w:r>
        <w:rPr>
          <w:rFonts w:cs="Arial"/>
          <w:szCs w:val="22"/>
        </w:rPr>
        <w:br w:type="page"/>
      </w:r>
    </w:p>
    <w:p w14:paraId="0D693F1E" w14:textId="77777777" w:rsidR="007C3B16" w:rsidRPr="007C3B16" w:rsidRDefault="007C3B16" w:rsidP="00D6774C">
      <w:pPr>
        <w:pStyle w:val="Heading1"/>
      </w:pPr>
      <w:bookmarkStart w:id="6" w:name="_Toc228278084"/>
      <w:r w:rsidRPr="007C3B16">
        <w:lastRenderedPageBreak/>
        <w:t>TRANSITION PLAN IMPLEMENTATION</w:t>
      </w:r>
      <w:bookmarkEnd w:id="6"/>
    </w:p>
    <w:p w14:paraId="19A718E6" w14:textId="77777777" w:rsidR="007C3B16" w:rsidRPr="007C3B16" w:rsidRDefault="007C3B16" w:rsidP="00D6774C">
      <w:pPr>
        <w:widowControl/>
        <w:spacing w:line="360" w:lineRule="auto"/>
        <w:jc w:val="both"/>
        <w:rPr>
          <w:rFonts w:cs="Arial"/>
          <w:szCs w:val="22"/>
        </w:rPr>
      </w:pPr>
    </w:p>
    <w:p w14:paraId="2D3F7AF6" w14:textId="77777777" w:rsidR="00B461EF" w:rsidRDefault="00B461EF" w:rsidP="00D6774C">
      <w:pPr>
        <w:ind w:left="709" w:hanging="709"/>
        <w:jc w:val="both"/>
        <w:rPr>
          <w:rFonts w:cs="Arial"/>
          <w:b/>
          <w:bCs/>
          <w:iCs/>
          <w:szCs w:val="22"/>
        </w:rPr>
      </w:pPr>
      <w:r w:rsidRPr="007C3E5F">
        <w:rPr>
          <w:rFonts w:cs="Arial"/>
          <w:b/>
          <w:bCs/>
          <w:iCs/>
          <w:szCs w:val="22"/>
        </w:rPr>
        <w:t>Q4.</w:t>
      </w:r>
      <w:r w:rsidRPr="007C3E5F">
        <w:rPr>
          <w:rFonts w:cs="Arial"/>
          <w:b/>
          <w:bCs/>
          <w:iCs/>
          <w:szCs w:val="22"/>
        </w:rPr>
        <w:tab/>
        <w:t>ISED is seeking preliminary comments on a transition plan to the proposed band plan, including:</w:t>
      </w:r>
    </w:p>
    <w:p w14:paraId="775CEE57" w14:textId="77777777" w:rsidR="00B461EF" w:rsidRPr="007C3E5F" w:rsidRDefault="00B461EF" w:rsidP="00D6774C">
      <w:pPr>
        <w:jc w:val="both"/>
        <w:rPr>
          <w:rFonts w:cs="Arial"/>
          <w:b/>
          <w:bCs/>
          <w:iCs/>
          <w:szCs w:val="22"/>
        </w:rPr>
      </w:pPr>
    </w:p>
    <w:p w14:paraId="4330864A" w14:textId="77777777" w:rsidR="00B461EF" w:rsidRDefault="00B461EF" w:rsidP="00D6774C">
      <w:pPr>
        <w:tabs>
          <w:tab w:val="clear" w:pos="720"/>
        </w:tabs>
        <w:ind w:left="1440" w:hanging="720"/>
        <w:jc w:val="both"/>
        <w:rPr>
          <w:rFonts w:cs="Arial"/>
          <w:b/>
          <w:bCs/>
          <w:iCs/>
          <w:szCs w:val="22"/>
        </w:rPr>
      </w:pPr>
      <w:r>
        <w:rPr>
          <w:rFonts w:cs="Arial"/>
          <w:b/>
          <w:bCs/>
          <w:iCs/>
          <w:szCs w:val="22"/>
        </w:rPr>
        <w:t>a.</w:t>
      </w:r>
      <w:r>
        <w:rPr>
          <w:rFonts w:cs="Arial"/>
          <w:b/>
          <w:bCs/>
          <w:iCs/>
          <w:szCs w:val="22"/>
        </w:rPr>
        <w:tab/>
      </w:r>
      <w:r w:rsidRPr="0089328E">
        <w:rPr>
          <w:rFonts w:cs="Arial"/>
          <w:b/>
          <w:bCs/>
          <w:iCs/>
          <w:szCs w:val="22"/>
        </w:rPr>
        <w:t>should the transition strategy be implemented on a market-by-market basis across Canada? If so, which regions should be prioritized and how should the timelines be staggered?</w:t>
      </w:r>
    </w:p>
    <w:p w14:paraId="1A0A7873" w14:textId="77777777" w:rsidR="007C3B16" w:rsidRDefault="007C3B16" w:rsidP="00D6774C">
      <w:pPr>
        <w:widowControl/>
        <w:spacing w:line="360" w:lineRule="auto"/>
        <w:jc w:val="both"/>
        <w:rPr>
          <w:rFonts w:cs="Arial"/>
          <w:szCs w:val="22"/>
        </w:rPr>
      </w:pPr>
    </w:p>
    <w:p w14:paraId="1FC669DA" w14:textId="6D90CEB7" w:rsidR="00891757" w:rsidRPr="005273FE" w:rsidRDefault="00891757" w:rsidP="00D6774C">
      <w:pPr>
        <w:widowControl/>
        <w:numPr>
          <w:ilvl w:val="0"/>
          <w:numId w:val="1"/>
        </w:numPr>
        <w:spacing w:line="360" w:lineRule="auto"/>
        <w:jc w:val="both"/>
        <w:rPr>
          <w:rFonts w:cs="Arial"/>
          <w:szCs w:val="22"/>
        </w:rPr>
      </w:pPr>
      <w:r w:rsidRPr="005273FE">
        <w:rPr>
          <w:rFonts w:cs="Arial"/>
          <w:szCs w:val="22"/>
        </w:rPr>
        <w:t xml:space="preserve">We recommend the transition be completed on a market-by-market basis. </w:t>
      </w:r>
      <w:r w:rsidR="00573348">
        <w:rPr>
          <w:rFonts w:cs="Arial"/>
          <w:szCs w:val="22"/>
        </w:rPr>
        <w:t xml:space="preserve"> </w:t>
      </w:r>
      <w:r w:rsidRPr="005273FE">
        <w:rPr>
          <w:rFonts w:cs="Arial"/>
          <w:szCs w:val="22"/>
        </w:rPr>
        <w:t>This approach will allow MNOs to determine the proper amount of time for planning, budgeting, and coordinating work across thousands of sites across the country, including testing equipment prior to deploying it in production environments.  This approach is supported by the majority of commenters; Rogers, Telus, Sask</w:t>
      </w:r>
      <w:r w:rsidR="0025718C">
        <w:rPr>
          <w:rFonts w:cs="Arial"/>
          <w:szCs w:val="22"/>
        </w:rPr>
        <w:t>t</w:t>
      </w:r>
      <w:r w:rsidRPr="005273FE">
        <w:rPr>
          <w:rFonts w:cs="Arial"/>
          <w:szCs w:val="22"/>
        </w:rPr>
        <w:t>el, Cogeco</w:t>
      </w:r>
      <w:r w:rsidR="00130841">
        <w:rPr>
          <w:rFonts w:cs="Arial"/>
          <w:szCs w:val="22"/>
        </w:rPr>
        <w:t>,</w:t>
      </w:r>
      <w:r w:rsidRPr="005273FE">
        <w:rPr>
          <w:rFonts w:cs="Arial"/>
          <w:szCs w:val="22"/>
        </w:rPr>
        <w:t xml:space="preserve"> and Xplore all support a phased, market-by-market approach to a transition, with the first </w:t>
      </w:r>
      <w:r w:rsidR="000355A6">
        <w:rPr>
          <w:rFonts w:cs="Arial"/>
          <w:szCs w:val="22"/>
        </w:rPr>
        <w:t>area or zone</w:t>
      </w:r>
      <w:r w:rsidR="00286FEB">
        <w:rPr>
          <w:rFonts w:cs="Arial"/>
          <w:szCs w:val="22"/>
        </w:rPr>
        <w:t xml:space="preserve"> transitioning</w:t>
      </w:r>
      <w:r w:rsidRPr="005273FE">
        <w:rPr>
          <w:rFonts w:cs="Arial"/>
          <w:szCs w:val="22"/>
        </w:rPr>
        <w:t xml:space="preserve"> </w:t>
      </w:r>
      <w:r w:rsidR="00286FEB">
        <w:rPr>
          <w:rFonts w:cs="Arial"/>
          <w:szCs w:val="22"/>
        </w:rPr>
        <w:t>around</w:t>
      </w:r>
      <w:r w:rsidRPr="005273FE">
        <w:rPr>
          <w:rFonts w:cs="Arial"/>
          <w:szCs w:val="22"/>
        </w:rPr>
        <w:t xml:space="preserve"> 2033.</w:t>
      </w:r>
      <w:r w:rsidRPr="005273FE">
        <w:rPr>
          <w:rStyle w:val="FootnoteReference"/>
          <w:rFonts w:cs="Arial"/>
          <w:szCs w:val="22"/>
        </w:rPr>
        <w:footnoteReference w:id="43"/>
      </w:r>
    </w:p>
    <w:p w14:paraId="19D7840C" w14:textId="77777777" w:rsidR="00891757" w:rsidRPr="005273FE" w:rsidRDefault="00891757" w:rsidP="00D6774C">
      <w:pPr>
        <w:widowControl/>
        <w:tabs>
          <w:tab w:val="clear" w:pos="720"/>
        </w:tabs>
        <w:spacing w:line="360" w:lineRule="auto"/>
        <w:jc w:val="both"/>
        <w:rPr>
          <w:rFonts w:cs="Arial"/>
          <w:szCs w:val="22"/>
        </w:rPr>
      </w:pPr>
    </w:p>
    <w:p w14:paraId="7BF18E82" w14:textId="2B27A422" w:rsidR="00891757" w:rsidRDefault="00891757" w:rsidP="00D6774C">
      <w:pPr>
        <w:widowControl/>
        <w:numPr>
          <w:ilvl w:val="0"/>
          <w:numId w:val="1"/>
        </w:numPr>
        <w:spacing w:line="360" w:lineRule="auto"/>
        <w:jc w:val="both"/>
        <w:rPr>
          <w:rFonts w:cs="Arial"/>
          <w:szCs w:val="22"/>
        </w:rPr>
      </w:pPr>
      <w:r w:rsidRPr="005273FE">
        <w:rPr>
          <w:rFonts w:cs="Arial"/>
          <w:szCs w:val="22"/>
        </w:rPr>
        <w:t xml:space="preserve">We agree with ISED that current licensees are best positioned to develop the details of a transition plan. </w:t>
      </w:r>
      <w:r w:rsidR="00F93DF9">
        <w:rPr>
          <w:rFonts w:cs="Arial"/>
          <w:szCs w:val="22"/>
        </w:rPr>
        <w:t xml:space="preserve"> </w:t>
      </w:r>
      <w:r w:rsidRPr="005273FE">
        <w:rPr>
          <w:rFonts w:cs="Arial"/>
          <w:szCs w:val="22"/>
        </w:rPr>
        <w:t>We are confident that existing 2500 MHz spectrum licensees can reach agreement on the timelines and market prioritization for the transition, and we encourage ISED to formally endorse the industry-developed three-zone approach.</w:t>
      </w:r>
    </w:p>
    <w:p w14:paraId="3D8225E2" w14:textId="77777777" w:rsidR="00891757" w:rsidRDefault="00891757" w:rsidP="00D6774C">
      <w:pPr>
        <w:widowControl/>
        <w:jc w:val="both"/>
        <w:rPr>
          <w:rFonts w:cs="Arial"/>
          <w:szCs w:val="22"/>
        </w:rPr>
      </w:pPr>
    </w:p>
    <w:p w14:paraId="593D7677" w14:textId="77777777" w:rsidR="00DE3C1E" w:rsidRDefault="00DE3C1E" w:rsidP="00D6774C">
      <w:pPr>
        <w:tabs>
          <w:tab w:val="clear" w:pos="720"/>
        </w:tabs>
        <w:ind w:left="1440" w:hanging="720"/>
        <w:jc w:val="both"/>
        <w:rPr>
          <w:rFonts w:cs="Arial"/>
          <w:b/>
          <w:bCs/>
          <w:iCs/>
          <w:szCs w:val="22"/>
        </w:rPr>
      </w:pPr>
      <w:r>
        <w:rPr>
          <w:rFonts w:cs="Arial"/>
          <w:b/>
          <w:bCs/>
          <w:iCs/>
          <w:szCs w:val="22"/>
        </w:rPr>
        <w:t>b.</w:t>
      </w:r>
      <w:r>
        <w:rPr>
          <w:rFonts w:cs="Arial"/>
          <w:b/>
          <w:bCs/>
          <w:iCs/>
          <w:szCs w:val="22"/>
        </w:rPr>
        <w:tab/>
      </w:r>
      <w:r w:rsidRPr="0089328E">
        <w:rPr>
          <w:rFonts w:cs="Arial"/>
          <w:b/>
          <w:bCs/>
          <w:iCs/>
          <w:szCs w:val="22"/>
        </w:rPr>
        <w:t>should certain portions of the band, such as the Canadian FDD uplink spectrum, be prioritized first during the transition?</w:t>
      </w:r>
    </w:p>
    <w:p w14:paraId="4A8447E6" w14:textId="77777777" w:rsidR="00891757" w:rsidRDefault="00891757" w:rsidP="00D6774C">
      <w:pPr>
        <w:widowControl/>
        <w:spacing w:line="360" w:lineRule="auto"/>
        <w:jc w:val="both"/>
        <w:rPr>
          <w:rFonts w:cs="Arial"/>
          <w:szCs w:val="22"/>
        </w:rPr>
      </w:pPr>
    </w:p>
    <w:p w14:paraId="25CFA558" w14:textId="77777777" w:rsidR="00F93DF9" w:rsidRDefault="00F75A77" w:rsidP="00D6774C">
      <w:pPr>
        <w:widowControl/>
        <w:numPr>
          <w:ilvl w:val="0"/>
          <w:numId w:val="1"/>
        </w:numPr>
        <w:spacing w:line="360" w:lineRule="auto"/>
        <w:jc w:val="both"/>
        <w:rPr>
          <w:rFonts w:cs="Arial"/>
          <w:szCs w:val="22"/>
        </w:rPr>
      </w:pPr>
      <w:r w:rsidRPr="005273FE">
        <w:rPr>
          <w:rFonts w:cs="Arial"/>
          <w:szCs w:val="22"/>
        </w:rPr>
        <w:t xml:space="preserve">Rogers states that </w:t>
      </w:r>
      <w:r>
        <w:rPr>
          <w:rFonts w:cs="Arial"/>
          <w:szCs w:val="22"/>
        </w:rPr>
        <w:t>"</w:t>
      </w:r>
      <w:r w:rsidRPr="005273FE">
        <w:rPr>
          <w:rFonts w:cs="Arial"/>
          <w:szCs w:val="22"/>
        </w:rPr>
        <w:t>the Department should reject any recommendations for</w:t>
      </w:r>
      <w:r>
        <w:rPr>
          <w:rFonts w:cs="Arial"/>
          <w:szCs w:val="22"/>
        </w:rPr>
        <w:t>"</w:t>
      </w:r>
      <w:r w:rsidRPr="005273FE">
        <w:rPr>
          <w:rFonts w:cs="Arial"/>
          <w:szCs w:val="22"/>
        </w:rPr>
        <w:t xml:space="preserve"> prioritization of certain portions of the band, explaining that </w:t>
      </w:r>
    </w:p>
    <w:p w14:paraId="708D3F5C" w14:textId="77777777" w:rsidR="00F93DF9" w:rsidRDefault="00F93DF9" w:rsidP="00D6774C">
      <w:pPr>
        <w:widowControl/>
        <w:tabs>
          <w:tab w:val="clear" w:pos="720"/>
        </w:tabs>
        <w:jc w:val="both"/>
        <w:rPr>
          <w:rFonts w:cs="Arial"/>
          <w:szCs w:val="22"/>
        </w:rPr>
      </w:pPr>
    </w:p>
    <w:p w14:paraId="7FB5DA52" w14:textId="559E7230" w:rsidR="00F93DF9" w:rsidRDefault="00F75A77" w:rsidP="00D6774C">
      <w:pPr>
        <w:widowControl/>
        <w:tabs>
          <w:tab w:val="clear" w:pos="720"/>
        </w:tabs>
        <w:ind w:left="720" w:right="720"/>
        <w:jc w:val="both"/>
        <w:rPr>
          <w:rFonts w:cs="Arial"/>
          <w:szCs w:val="22"/>
        </w:rPr>
      </w:pPr>
      <w:r w:rsidRPr="005273FE">
        <w:rPr>
          <w:rFonts w:cs="Arial"/>
          <w:szCs w:val="22"/>
        </w:rPr>
        <w:t>the most optimal option for most Canadians would be to maintain the current band plan right up until the transition and then to immediately migrate to the new band plan (i.e., a large-scale, single-night cut-over).</w:t>
      </w:r>
      <w:r w:rsidRPr="005273FE">
        <w:rPr>
          <w:rStyle w:val="FootnoteReference"/>
          <w:rFonts w:cs="Arial"/>
          <w:szCs w:val="22"/>
        </w:rPr>
        <w:footnoteReference w:id="44"/>
      </w:r>
    </w:p>
    <w:p w14:paraId="273ACD6D" w14:textId="77777777" w:rsidR="00F93DF9" w:rsidRDefault="00F93DF9" w:rsidP="00D6774C">
      <w:pPr>
        <w:widowControl/>
        <w:tabs>
          <w:tab w:val="clear" w:pos="720"/>
        </w:tabs>
        <w:spacing w:line="360" w:lineRule="auto"/>
        <w:jc w:val="both"/>
        <w:rPr>
          <w:rFonts w:cs="Arial"/>
          <w:szCs w:val="22"/>
        </w:rPr>
      </w:pPr>
    </w:p>
    <w:p w14:paraId="4B830C53" w14:textId="519AD0C3" w:rsidR="00265CB2" w:rsidRDefault="00F75A77" w:rsidP="00D6774C">
      <w:pPr>
        <w:widowControl/>
        <w:tabs>
          <w:tab w:val="clear" w:pos="720"/>
        </w:tabs>
        <w:spacing w:line="360" w:lineRule="auto"/>
        <w:jc w:val="both"/>
        <w:rPr>
          <w:rFonts w:cs="Arial"/>
          <w:szCs w:val="22"/>
        </w:rPr>
      </w:pPr>
      <w:r w:rsidRPr="005273FE">
        <w:rPr>
          <w:rFonts w:cs="Arial"/>
          <w:szCs w:val="22"/>
        </w:rPr>
        <w:t>Cogeco and Ecotel also support transitioning the entire band rather than prioritizing a portion of the band.</w:t>
      </w:r>
      <w:r w:rsidRPr="005273FE">
        <w:rPr>
          <w:rStyle w:val="FootnoteReference"/>
          <w:rFonts w:cs="Arial"/>
          <w:szCs w:val="22"/>
        </w:rPr>
        <w:footnoteReference w:id="45"/>
      </w:r>
      <w:r w:rsidRPr="005273FE">
        <w:rPr>
          <w:rFonts w:cs="Arial"/>
          <w:szCs w:val="22"/>
        </w:rPr>
        <w:t xml:space="preserve">  We agree and recommend that the transition consist of the following process within each </w:t>
      </w:r>
      <w:r w:rsidR="00286FEB">
        <w:rPr>
          <w:rFonts w:cs="Arial"/>
          <w:szCs w:val="22"/>
        </w:rPr>
        <w:t>area or zone</w:t>
      </w:r>
      <w:r w:rsidRPr="005273FE">
        <w:rPr>
          <w:rFonts w:cs="Arial"/>
          <w:szCs w:val="22"/>
        </w:rPr>
        <w:t>.  Starting shortly after the decision to this consultation, licensees will continue to be allowed to use Band 7 FDD operations in their existing 2500 MHz spectrum licence frequencies.  However, at the 2500 MHz spectrum licensees</w:t>
      </w:r>
      <w:r>
        <w:rPr>
          <w:rFonts w:cs="Arial"/>
          <w:szCs w:val="22"/>
        </w:rPr>
        <w:t>'</w:t>
      </w:r>
      <w:r w:rsidRPr="005273FE">
        <w:rPr>
          <w:rFonts w:cs="Arial"/>
          <w:szCs w:val="22"/>
        </w:rPr>
        <w:t xml:space="preserve"> discretion, they will be allowed to </w:t>
      </w:r>
      <w:r w:rsidRPr="005273FE">
        <w:rPr>
          <w:rFonts w:cs="Arial"/>
          <w:szCs w:val="22"/>
        </w:rPr>
        <w:lastRenderedPageBreak/>
        <w:t>use Band</w:t>
      </w:r>
      <w:r w:rsidR="006F5A8F">
        <w:rPr>
          <w:rFonts w:cs="Arial"/>
          <w:szCs w:val="22"/>
        </w:rPr>
        <w:t> </w:t>
      </w:r>
      <w:r w:rsidRPr="005273FE">
        <w:rPr>
          <w:rFonts w:cs="Arial"/>
          <w:szCs w:val="22"/>
        </w:rPr>
        <w:t>41 TDD operation in the Band 7 downlink portion of the 2500 MHz spectrum band</w:t>
      </w:r>
      <w:r w:rsidR="00E36685">
        <w:rPr>
          <w:rFonts w:cs="Arial"/>
          <w:szCs w:val="22"/>
        </w:rPr>
        <w:t>,</w:t>
      </w:r>
      <w:r w:rsidRPr="005273FE">
        <w:rPr>
          <w:rFonts w:cs="Arial"/>
          <w:szCs w:val="22"/>
        </w:rPr>
        <w:t xml:space="preserve"> but only as supplemental downlink (i.e., there will be no Band 41 uplink use).  This hybrid band plan will remain in place until the industry determined transition deadline, at which point there will be a complete switch from FDD operations to TDD operations.</w:t>
      </w:r>
    </w:p>
    <w:p w14:paraId="34BC6E7B" w14:textId="77777777" w:rsidR="00265CB2" w:rsidRDefault="00265CB2" w:rsidP="00D6774C">
      <w:pPr>
        <w:widowControl/>
        <w:tabs>
          <w:tab w:val="clear" w:pos="720"/>
        </w:tabs>
        <w:spacing w:line="360" w:lineRule="auto"/>
        <w:jc w:val="both"/>
        <w:rPr>
          <w:rFonts w:cs="Arial"/>
          <w:szCs w:val="22"/>
        </w:rPr>
      </w:pPr>
    </w:p>
    <w:p w14:paraId="08C7A0F5" w14:textId="40DB2E8D" w:rsidR="00F75A77" w:rsidRPr="005273FE" w:rsidRDefault="00F75A77" w:rsidP="00D6774C">
      <w:pPr>
        <w:pStyle w:val="ListParagraph"/>
        <w:numPr>
          <w:ilvl w:val="0"/>
          <w:numId w:val="1"/>
        </w:numPr>
        <w:jc w:val="both"/>
      </w:pPr>
      <w:r w:rsidRPr="005273FE">
        <w:t>To be clear, it is only at the transition deadline that mobile network operators will switch from their 2500 MHz FDD frequencies to their new 2500</w:t>
      </w:r>
      <w:r w:rsidR="00B4288F">
        <w:t> </w:t>
      </w:r>
      <w:r w:rsidRPr="005273FE">
        <w:t xml:space="preserve">MHz TDD frequencies.  Up to the transition deadline, 2500 MHz spectrum licensees will continue to operate on their currently licensed 2500 MHz frequencies. </w:t>
      </w:r>
      <w:r w:rsidR="005D2622">
        <w:t xml:space="preserve"> </w:t>
      </w:r>
      <w:r w:rsidRPr="005273FE">
        <w:t>Sask</w:t>
      </w:r>
      <w:r w:rsidR="0025718C">
        <w:t>t</w:t>
      </w:r>
      <w:r w:rsidRPr="005273FE">
        <w:t xml:space="preserve">el confirms that </w:t>
      </w:r>
      <w:r>
        <w:t>"</w:t>
      </w:r>
      <w:r w:rsidRPr="005273FE">
        <w:t>current band 7 license holders prefer that the uplink portion of the band be left as FDD due to uplink capacity concerns</w:t>
      </w:r>
      <w:r>
        <w:t>"</w:t>
      </w:r>
      <w:r w:rsidRPr="005273FE">
        <w:t xml:space="preserve"> and that </w:t>
      </w:r>
      <w:r>
        <w:t>"</w:t>
      </w:r>
      <w:r w:rsidRPr="005273FE">
        <w:t>a single transition date is recommended where all FDD spectrum is converted to TDD in the region at the same time</w:t>
      </w:r>
      <w:r>
        <w:t>"</w:t>
      </w:r>
      <w:r w:rsidRPr="005273FE">
        <w:t>.</w:t>
      </w:r>
      <w:r w:rsidRPr="007776E6">
        <w:rPr>
          <w:vertAlign w:val="superscript"/>
        </w:rPr>
        <w:footnoteReference w:id="46"/>
      </w:r>
      <w:r w:rsidRPr="005273FE">
        <w:t xml:space="preserve"> </w:t>
      </w:r>
      <w:r w:rsidR="005D2622">
        <w:t xml:space="preserve"> </w:t>
      </w:r>
      <w:r w:rsidR="00265CB2">
        <w:t>In addition, w</w:t>
      </w:r>
      <w:r w:rsidRPr="005273FE">
        <w:t xml:space="preserve">e recommend that </w:t>
      </w:r>
      <w:r w:rsidR="00265CB2">
        <w:t>B</w:t>
      </w:r>
      <w:r w:rsidRPr="005273FE">
        <w:t>and</w:t>
      </w:r>
      <w:r w:rsidR="007776E6">
        <w:t xml:space="preserve"> </w:t>
      </w:r>
      <w:r w:rsidRPr="005273FE">
        <w:t xml:space="preserve">7 operations be protected from adjacent </w:t>
      </w:r>
      <w:r w:rsidR="003A2436">
        <w:t>B</w:t>
      </w:r>
      <w:r w:rsidRPr="005273FE">
        <w:t xml:space="preserve">and 41 operations if </w:t>
      </w:r>
      <w:r w:rsidR="00987C9E">
        <w:t>an</w:t>
      </w:r>
      <w:r w:rsidR="00987C9E" w:rsidRPr="005273FE">
        <w:t xml:space="preserve"> </w:t>
      </w:r>
      <w:r w:rsidRPr="005273FE">
        <w:t xml:space="preserve">MNO choose to operate </w:t>
      </w:r>
      <w:r w:rsidR="003A2436">
        <w:t>B</w:t>
      </w:r>
      <w:r w:rsidRPr="005273FE">
        <w:t xml:space="preserve">and 41 within their assigned downlink </w:t>
      </w:r>
      <w:r w:rsidR="00C53E87">
        <w:t>B</w:t>
      </w:r>
      <w:r w:rsidRPr="005273FE">
        <w:t>and</w:t>
      </w:r>
      <w:r w:rsidR="007776E6">
        <w:t> </w:t>
      </w:r>
      <w:r w:rsidRPr="005273FE">
        <w:t xml:space="preserve">7 </w:t>
      </w:r>
      <w:r w:rsidR="00C53E87">
        <w:t>frequencies</w:t>
      </w:r>
      <w:r w:rsidRPr="005273FE">
        <w:t>.</w:t>
      </w:r>
    </w:p>
    <w:p w14:paraId="6D768B4D" w14:textId="77777777" w:rsidR="00F75A77" w:rsidRPr="005273FE" w:rsidRDefault="00F75A77" w:rsidP="00D6774C">
      <w:pPr>
        <w:widowControl/>
        <w:spacing w:line="360" w:lineRule="auto"/>
        <w:jc w:val="both"/>
        <w:rPr>
          <w:rFonts w:cs="Arial"/>
          <w:szCs w:val="22"/>
        </w:rPr>
      </w:pPr>
    </w:p>
    <w:p w14:paraId="77CB00EE" w14:textId="70410EFB" w:rsidR="00F75A77" w:rsidRDefault="00F75A77" w:rsidP="00D6774C">
      <w:pPr>
        <w:pStyle w:val="ListParagraph"/>
        <w:numPr>
          <w:ilvl w:val="0"/>
          <w:numId w:val="1"/>
        </w:numPr>
        <w:jc w:val="both"/>
      </w:pPr>
      <w:r w:rsidRPr="005273FE">
        <w:t xml:space="preserve">At the transition deadline for each </w:t>
      </w:r>
      <w:r w:rsidR="00C53E87">
        <w:t>area or zone</w:t>
      </w:r>
      <w:r w:rsidRPr="005273FE">
        <w:t xml:space="preserve">, the entire 2500 MHz </w:t>
      </w:r>
      <w:r w:rsidR="00C53E87">
        <w:t xml:space="preserve">spectrum </w:t>
      </w:r>
      <w:r w:rsidRPr="005273FE">
        <w:t xml:space="preserve">band in that </w:t>
      </w:r>
      <w:r w:rsidR="000421FE">
        <w:t>area or zone</w:t>
      </w:r>
      <w:r w:rsidR="000421FE" w:rsidRPr="005273FE">
        <w:t xml:space="preserve"> </w:t>
      </w:r>
      <w:r w:rsidRPr="005273FE">
        <w:t xml:space="preserve">will operate as TDD Band 41, and 2500 MHz spectrum licensees would move to contiguous frequency block assignments within the new </w:t>
      </w:r>
      <w:r w:rsidR="000421FE">
        <w:t xml:space="preserve">spectrum </w:t>
      </w:r>
      <w:r w:rsidRPr="005273FE">
        <w:t xml:space="preserve">band plan. </w:t>
      </w:r>
      <w:r w:rsidR="00186467">
        <w:t xml:space="preserve"> </w:t>
      </w:r>
      <w:r w:rsidRPr="005273FE">
        <w:t xml:space="preserve">Our proposal for a phased-in approach offers a practical solution for managing the transition by ensuring minimum disruption to existing services and allowing flexibility for </w:t>
      </w:r>
      <w:r w:rsidR="000421FE">
        <w:t>MNOs</w:t>
      </w:r>
      <w:r w:rsidRPr="005273FE">
        <w:t xml:space="preserve"> to manage the changeover at a pace that balances their individual operational and capital planning requirements.</w:t>
      </w:r>
    </w:p>
    <w:p w14:paraId="489A7D8B" w14:textId="77777777" w:rsidR="00F75A77" w:rsidRDefault="00F75A77" w:rsidP="00D6774C">
      <w:pPr>
        <w:pStyle w:val="ListParagraph"/>
        <w:spacing w:line="240" w:lineRule="auto"/>
        <w:ind w:left="0" w:firstLine="0"/>
        <w:jc w:val="both"/>
      </w:pPr>
    </w:p>
    <w:p w14:paraId="25F2DF46" w14:textId="77777777" w:rsidR="00875626" w:rsidRDefault="00875626" w:rsidP="00D6774C">
      <w:pPr>
        <w:tabs>
          <w:tab w:val="clear" w:pos="720"/>
        </w:tabs>
        <w:ind w:left="1440" w:hanging="720"/>
        <w:jc w:val="both"/>
        <w:rPr>
          <w:rFonts w:cs="Arial"/>
          <w:b/>
          <w:bCs/>
          <w:iCs/>
          <w:szCs w:val="22"/>
        </w:rPr>
      </w:pPr>
      <w:r>
        <w:rPr>
          <w:rFonts w:cs="Arial"/>
          <w:b/>
          <w:bCs/>
          <w:iCs/>
          <w:szCs w:val="22"/>
        </w:rPr>
        <w:t>c.</w:t>
      </w:r>
      <w:r>
        <w:rPr>
          <w:rFonts w:cs="Arial"/>
          <w:b/>
          <w:bCs/>
          <w:iCs/>
          <w:szCs w:val="22"/>
        </w:rPr>
        <w:tab/>
      </w:r>
      <w:r w:rsidRPr="0089328E">
        <w:rPr>
          <w:rFonts w:cs="Arial"/>
          <w:b/>
          <w:bCs/>
          <w:iCs/>
          <w:szCs w:val="22"/>
        </w:rPr>
        <w:t>do licensees prefer holding contiguous blocks of spectrum in an unpaired TDD-use band plan? If so, what process is envisioned to enable the exchange of frequency assignments?</w:t>
      </w:r>
    </w:p>
    <w:p w14:paraId="62EE54EC" w14:textId="77777777" w:rsidR="00F75A77" w:rsidRDefault="00F75A77" w:rsidP="00D6774C">
      <w:pPr>
        <w:pStyle w:val="ListParagraph"/>
        <w:ind w:left="0" w:firstLine="0"/>
        <w:jc w:val="both"/>
      </w:pPr>
    </w:p>
    <w:p w14:paraId="2B8F0F06" w14:textId="327BDAD6" w:rsidR="007C003E" w:rsidRPr="007C003E" w:rsidRDefault="00184A4F" w:rsidP="00D6774C">
      <w:pPr>
        <w:widowControl/>
        <w:numPr>
          <w:ilvl w:val="0"/>
          <w:numId w:val="1"/>
        </w:numPr>
        <w:spacing w:line="360" w:lineRule="auto"/>
        <w:jc w:val="both"/>
        <w:rPr>
          <w:rFonts w:cs="Arial"/>
          <w:szCs w:val="22"/>
        </w:rPr>
      </w:pPr>
      <w:r w:rsidRPr="005273FE">
        <w:rPr>
          <w:rFonts w:cs="Arial"/>
          <w:szCs w:val="22"/>
        </w:rPr>
        <w:t>All commenters prefer contiguous blocks of spectrum.  As noted in</w:t>
      </w:r>
      <w:bookmarkStart w:id="7" w:name="OpenAt"/>
      <w:bookmarkEnd w:id="7"/>
      <w:r w:rsidRPr="005273FE">
        <w:rPr>
          <w:rFonts w:cs="Arial"/>
          <w:szCs w:val="22"/>
        </w:rPr>
        <w:t xml:space="preserve"> our initial comments, converting existing FDD licences to TDD without reassigning frequencies would result in each licensee holding non-contiguous spectrum blocks which would undermine the spectral efficiency gains that the transition to </w:t>
      </w:r>
      <w:r w:rsidR="00342806">
        <w:rPr>
          <w:rFonts w:cs="Arial"/>
          <w:szCs w:val="22"/>
        </w:rPr>
        <w:t xml:space="preserve">TDD </w:t>
      </w:r>
      <w:r w:rsidRPr="005273FE">
        <w:rPr>
          <w:rFonts w:cs="Arial"/>
          <w:szCs w:val="22"/>
        </w:rPr>
        <w:t>Band 41 is intended to achieve.</w:t>
      </w:r>
      <w:r w:rsidRPr="005273FE">
        <w:rPr>
          <w:rStyle w:val="FootnoteReference"/>
          <w:rFonts w:cs="Arial"/>
          <w:szCs w:val="22"/>
        </w:rPr>
        <w:footnoteReference w:id="47"/>
      </w:r>
      <w:r w:rsidRPr="005273FE">
        <w:rPr>
          <w:rFonts w:cs="Arial"/>
          <w:szCs w:val="22"/>
        </w:rPr>
        <w:t xml:space="preserve">  Rogers makes its support for the transition </w:t>
      </w:r>
      <w:r>
        <w:rPr>
          <w:rFonts w:cs="Arial"/>
          <w:szCs w:val="22"/>
        </w:rPr>
        <w:t>"</w:t>
      </w:r>
      <w:r w:rsidRPr="005273FE">
        <w:rPr>
          <w:rFonts w:cs="Arial"/>
          <w:szCs w:val="22"/>
        </w:rPr>
        <w:t>contingent on all licensees receiving fully contiguous spectrum in all licence areas.</w:t>
      </w:r>
      <w:r>
        <w:rPr>
          <w:rFonts w:cs="Arial"/>
          <w:szCs w:val="22"/>
        </w:rPr>
        <w:t>"</w:t>
      </w:r>
      <w:r w:rsidRPr="005273FE">
        <w:rPr>
          <w:rStyle w:val="FootnoteReference"/>
          <w:rFonts w:cs="Arial"/>
          <w:szCs w:val="22"/>
        </w:rPr>
        <w:footnoteReference w:id="48"/>
      </w:r>
      <w:r w:rsidRPr="005273FE">
        <w:rPr>
          <w:rFonts w:cs="Arial"/>
          <w:szCs w:val="22"/>
        </w:rPr>
        <w:t xml:space="preserve">  Eastlink, Sasktel</w:t>
      </w:r>
      <w:r w:rsidR="00F63FA8">
        <w:rPr>
          <w:rFonts w:cs="Arial"/>
          <w:szCs w:val="22"/>
        </w:rPr>
        <w:t>,</w:t>
      </w:r>
      <w:r w:rsidRPr="005273FE">
        <w:rPr>
          <w:rFonts w:cs="Arial"/>
          <w:szCs w:val="22"/>
        </w:rPr>
        <w:t xml:space="preserve"> and Ecotel echo their support for contiguous spectrum at the end of the transition.</w:t>
      </w:r>
      <w:r w:rsidRPr="005273FE">
        <w:rPr>
          <w:rStyle w:val="FootnoteReference"/>
          <w:rFonts w:cs="Arial"/>
          <w:szCs w:val="22"/>
        </w:rPr>
        <w:footnoteReference w:id="49"/>
      </w:r>
      <w:r w:rsidR="007C003E" w:rsidRPr="007C003E">
        <w:rPr>
          <w:rFonts w:cs="Arial"/>
          <w:szCs w:val="22"/>
        </w:rPr>
        <w:br w:type="page"/>
      </w:r>
    </w:p>
    <w:p w14:paraId="4C68AD69" w14:textId="464D8AE5" w:rsidR="005333D9" w:rsidRPr="005273FE" w:rsidRDefault="009A2315" w:rsidP="00D6774C">
      <w:pPr>
        <w:widowControl/>
        <w:numPr>
          <w:ilvl w:val="0"/>
          <w:numId w:val="1"/>
        </w:numPr>
        <w:spacing w:line="360" w:lineRule="auto"/>
        <w:jc w:val="both"/>
        <w:rPr>
          <w:rFonts w:cs="Arial"/>
          <w:szCs w:val="22"/>
        </w:rPr>
      </w:pPr>
      <w:r>
        <w:rPr>
          <w:rFonts w:cs="Arial"/>
          <w:szCs w:val="22"/>
        </w:rPr>
        <w:lastRenderedPageBreak/>
        <w:t>T</w:t>
      </w:r>
      <w:r w:rsidRPr="00B63433">
        <w:rPr>
          <w:rFonts w:cs="Arial"/>
          <w:szCs w:val="22"/>
        </w:rPr>
        <w:t>he adjacent</w:t>
      </w:r>
      <w:r>
        <w:rPr>
          <w:rFonts w:cs="Arial"/>
          <w:szCs w:val="22"/>
        </w:rPr>
        <w:t xml:space="preserve"> spectrum</w:t>
      </w:r>
      <w:r w:rsidRPr="00B63433">
        <w:rPr>
          <w:rFonts w:cs="Arial"/>
          <w:szCs w:val="22"/>
        </w:rPr>
        <w:t xml:space="preserve"> band from 2690 to 2900 MHz </w:t>
      </w:r>
      <w:r>
        <w:rPr>
          <w:rFonts w:cs="Arial"/>
          <w:szCs w:val="22"/>
        </w:rPr>
        <w:t xml:space="preserve">is </w:t>
      </w:r>
      <w:r w:rsidRPr="00B63433">
        <w:rPr>
          <w:rFonts w:cs="Arial"/>
          <w:szCs w:val="22"/>
        </w:rPr>
        <w:t>being seriously considered for 6G</w:t>
      </w:r>
      <w:r>
        <w:rPr>
          <w:rFonts w:cs="Arial"/>
          <w:szCs w:val="22"/>
        </w:rPr>
        <w:t xml:space="preserve"> use</w:t>
      </w:r>
      <w:r w:rsidRPr="00B63433">
        <w:rPr>
          <w:rFonts w:cs="Arial"/>
          <w:szCs w:val="22"/>
        </w:rPr>
        <w:t xml:space="preserve"> in the </w:t>
      </w:r>
      <w:r>
        <w:rPr>
          <w:rFonts w:cs="Arial"/>
          <w:szCs w:val="22"/>
        </w:rPr>
        <w:t>US</w:t>
      </w:r>
      <w:r w:rsidRPr="00B63433">
        <w:rPr>
          <w:rFonts w:cs="Arial"/>
          <w:szCs w:val="22"/>
        </w:rPr>
        <w:t xml:space="preserve"> under the </w:t>
      </w:r>
      <w:r w:rsidRPr="007062CF">
        <w:rPr>
          <w:rFonts w:cs="Arial"/>
          <w:i/>
          <w:iCs/>
          <w:szCs w:val="22"/>
        </w:rPr>
        <w:t>One Big Beautiful Bill Act</w:t>
      </w:r>
      <w:r w:rsidRPr="009172D5">
        <w:rPr>
          <w:rFonts w:cs="Arial"/>
          <w:szCs w:val="22"/>
        </w:rPr>
        <w:t>.</w:t>
      </w:r>
      <w:r w:rsidRPr="00B63433">
        <w:rPr>
          <w:rFonts w:cs="Arial"/>
          <w:szCs w:val="22"/>
        </w:rPr>
        <w:t xml:space="preserve"> </w:t>
      </w:r>
      <w:r>
        <w:rPr>
          <w:rFonts w:cs="Arial"/>
          <w:szCs w:val="22"/>
        </w:rPr>
        <w:t xml:space="preserve"> </w:t>
      </w:r>
      <w:r w:rsidR="005333D9" w:rsidRPr="005273FE">
        <w:rPr>
          <w:rFonts w:cs="Arial"/>
          <w:szCs w:val="22"/>
        </w:rPr>
        <w:t>ISED could conduct a single assignment round that assigns contiguous spectrum blocks across the entire 2500-2900 MHz spectrum band.  Holding two separate assignment rounds would be suboptimal and would result in fragmented spectrum holdings, contrary to the SPFC</w:t>
      </w:r>
      <w:r w:rsidR="005333D9">
        <w:rPr>
          <w:rFonts w:cs="Arial"/>
          <w:szCs w:val="22"/>
        </w:rPr>
        <w:t>'</w:t>
      </w:r>
      <w:r w:rsidR="005333D9" w:rsidRPr="005273FE">
        <w:rPr>
          <w:rFonts w:cs="Arial"/>
          <w:szCs w:val="22"/>
        </w:rPr>
        <w:t xml:space="preserve">s objective to </w:t>
      </w:r>
      <w:r w:rsidR="005333D9">
        <w:rPr>
          <w:rFonts w:cs="Arial"/>
          <w:szCs w:val="22"/>
        </w:rPr>
        <w:t>"</w:t>
      </w:r>
      <w:r w:rsidR="005333D9" w:rsidRPr="005273FE">
        <w:rPr>
          <w:rFonts w:cs="Arial"/>
          <w:szCs w:val="22"/>
        </w:rPr>
        <w:t>maximize the economic and social benefits that Canadians derive from the use of the radio frequency spectrum resource.</w:t>
      </w:r>
      <w:r w:rsidR="005333D9">
        <w:rPr>
          <w:rFonts w:cs="Arial"/>
          <w:szCs w:val="22"/>
        </w:rPr>
        <w:t>"</w:t>
      </w:r>
      <w:r w:rsidR="005333D9" w:rsidRPr="005273FE">
        <w:rPr>
          <w:rStyle w:val="FootnoteReference"/>
          <w:rFonts w:cs="Arial"/>
          <w:szCs w:val="22"/>
        </w:rPr>
        <w:footnoteReference w:id="50"/>
      </w:r>
      <w:r w:rsidR="005333D9" w:rsidRPr="005273FE">
        <w:rPr>
          <w:rFonts w:cs="Arial"/>
          <w:szCs w:val="22"/>
        </w:rPr>
        <w:t xml:space="preserve">  Fragmented spectrum holdings will deprive MNOs of the ability to obtain large contiguous blocks of spectrum at a point where 6G technologies will require large contiguous blocks of mid-band spectrum to deliver the performance gains that Canadians expect.</w:t>
      </w:r>
    </w:p>
    <w:p w14:paraId="6BD1A976" w14:textId="77777777" w:rsidR="003D21EF" w:rsidRPr="002D6592" w:rsidRDefault="003D21EF" w:rsidP="00D6774C">
      <w:pPr>
        <w:widowControl/>
        <w:spacing w:line="360" w:lineRule="auto"/>
        <w:jc w:val="both"/>
        <w:rPr>
          <w:rFonts w:cs="Arial"/>
          <w:szCs w:val="22"/>
        </w:rPr>
      </w:pPr>
    </w:p>
    <w:p w14:paraId="2AB606B8" w14:textId="792E3141" w:rsidR="00954488" w:rsidRDefault="003D21EF" w:rsidP="00D6774C">
      <w:pPr>
        <w:widowControl/>
        <w:numPr>
          <w:ilvl w:val="0"/>
          <w:numId w:val="1"/>
        </w:numPr>
        <w:spacing w:line="360" w:lineRule="auto"/>
        <w:jc w:val="both"/>
        <w:rPr>
          <w:rFonts w:cs="Arial"/>
          <w:color w:val="000000"/>
        </w:rPr>
      </w:pPr>
      <w:r w:rsidRPr="005273FE">
        <w:rPr>
          <w:rFonts w:cs="Arial"/>
          <w:szCs w:val="22"/>
        </w:rPr>
        <w:t xml:space="preserve">Canadian MNOs can benefit from economies of scale by aligning with the expanded US band, which allows them to use upcoming 6G equipment that supports </w:t>
      </w:r>
      <w:r>
        <w:rPr>
          <w:rFonts w:cs="Arial"/>
          <w:szCs w:val="22"/>
        </w:rPr>
        <w:t>B</w:t>
      </w:r>
      <w:r w:rsidRPr="005273FE">
        <w:rPr>
          <w:rFonts w:cs="Arial"/>
          <w:szCs w:val="22"/>
        </w:rPr>
        <w:t>and 41 and will extend up to 2900 MHz.</w:t>
      </w:r>
      <w:r>
        <w:rPr>
          <w:rFonts w:cs="Arial"/>
          <w:szCs w:val="22"/>
        </w:rPr>
        <w:t xml:space="preserve"> </w:t>
      </w:r>
      <w:r w:rsidRPr="005273FE">
        <w:rPr>
          <w:rFonts w:cs="Arial"/>
          <w:szCs w:val="22"/>
        </w:rPr>
        <w:t xml:space="preserve"> This </w:t>
      </w:r>
      <w:r w:rsidR="00254E58">
        <w:rPr>
          <w:rFonts w:cs="Arial"/>
          <w:szCs w:val="22"/>
        </w:rPr>
        <w:t>allows</w:t>
      </w:r>
      <w:r w:rsidRPr="005273FE">
        <w:rPr>
          <w:rFonts w:cs="Arial"/>
          <w:szCs w:val="22"/>
        </w:rPr>
        <w:t xml:space="preserve"> MNOs </w:t>
      </w:r>
      <w:r w:rsidR="00254E58">
        <w:rPr>
          <w:rFonts w:cs="Arial"/>
          <w:szCs w:val="22"/>
        </w:rPr>
        <w:t xml:space="preserve">to </w:t>
      </w:r>
      <w:r w:rsidRPr="005273FE">
        <w:rPr>
          <w:rFonts w:cs="Arial"/>
          <w:szCs w:val="22"/>
        </w:rPr>
        <w:t xml:space="preserve">install radios ready for 6G </w:t>
      </w:r>
      <w:r w:rsidR="00254E58">
        <w:rPr>
          <w:rFonts w:cs="Arial"/>
          <w:szCs w:val="22"/>
        </w:rPr>
        <w:t xml:space="preserve">service </w:t>
      </w:r>
      <w:r w:rsidRPr="005273FE">
        <w:rPr>
          <w:rFonts w:cs="Arial"/>
          <w:szCs w:val="22"/>
        </w:rPr>
        <w:t xml:space="preserve">during this transition period. </w:t>
      </w:r>
      <w:r>
        <w:rPr>
          <w:rFonts w:cs="Arial"/>
          <w:szCs w:val="22"/>
        </w:rPr>
        <w:t xml:space="preserve"> </w:t>
      </w:r>
      <w:r w:rsidRPr="005273FE">
        <w:rPr>
          <w:rFonts w:cs="Arial"/>
          <w:szCs w:val="22"/>
        </w:rPr>
        <w:t xml:space="preserve">If they </w:t>
      </w:r>
      <w:r w:rsidR="006B7146">
        <w:rPr>
          <w:rFonts w:cs="Arial"/>
          <w:szCs w:val="22"/>
        </w:rPr>
        <w:t xml:space="preserve">do not </w:t>
      </w:r>
      <w:r w:rsidRPr="005273FE">
        <w:rPr>
          <w:rFonts w:cs="Arial"/>
          <w:szCs w:val="22"/>
        </w:rPr>
        <w:t>align, MNOs will end up with fragmented spectrum holdings and must deploy separate radios</w:t>
      </w:r>
      <w:r>
        <w:rPr>
          <w:rFonts w:cs="Arial"/>
          <w:szCs w:val="22"/>
        </w:rPr>
        <w:t xml:space="preserve"> – </w:t>
      </w:r>
      <w:r w:rsidRPr="005273FE">
        <w:rPr>
          <w:rFonts w:cs="Arial"/>
          <w:szCs w:val="22"/>
        </w:rPr>
        <w:t xml:space="preserve">one for </w:t>
      </w:r>
      <w:r>
        <w:rPr>
          <w:rFonts w:cs="Arial"/>
          <w:szCs w:val="22"/>
        </w:rPr>
        <w:t xml:space="preserve">Band </w:t>
      </w:r>
      <w:r w:rsidRPr="005273FE">
        <w:rPr>
          <w:rFonts w:cs="Arial"/>
          <w:szCs w:val="22"/>
        </w:rPr>
        <w:t xml:space="preserve">41 and another for the </w:t>
      </w:r>
      <w:r w:rsidR="00CD2BDC">
        <w:rPr>
          <w:rFonts w:cs="Arial"/>
          <w:szCs w:val="22"/>
        </w:rPr>
        <w:t xml:space="preserve">spectrum </w:t>
      </w:r>
      <w:r w:rsidRPr="005273FE">
        <w:rPr>
          <w:rFonts w:cs="Arial"/>
          <w:szCs w:val="22"/>
        </w:rPr>
        <w:t>band ranging from 2690 to 2900</w:t>
      </w:r>
      <w:r w:rsidR="007C003E">
        <w:rPr>
          <w:rFonts w:cs="Arial"/>
          <w:szCs w:val="22"/>
        </w:rPr>
        <w:t> </w:t>
      </w:r>
      <w:r w:rsidRPr="005273FE">
        <w:rPr>
          <w:rFonts w:cs="Arial"/>
          <w:szCs w:val="22"/>
        </w:rPr>
        <w:t>MHz</w:t>
      </w:r>
      <w:r>
        <w:rPr>
          <w:rFonts w:cs="Arial"/>
          <w:szCs w:val="22"/>
        </w:rPr>
        <w:t xml:space="preserve"> – </w:t>
      </w:r>
      <w:r w:rsidRPr="005273FE">
        <w:rPr>
          <w:rFonts w:cs="Arial"/>
          <w:szCs w:val="22"/>
        </w:rPr>
        <w:t xml:space="preserve">which means two site visits and much higher costs. </w:t>
      </w:r>
      <w:r>
        <w:rPr>
          <w:rFonts w:cs="Arial"/>
          <w:szCs w:val="22"/>
        </w:rPr>
        <w:t xml:space="preserve"> </w:t>
      </w:r>
      <w:r w:rsidRPr="005273FE">
        <w:rPr>
          <w:rFonts w:cs="Arial"/>
          <w:szCs w:val="22"/>
        </w:rPr>
        <w:t xml:space="preserve">The current timing </w:t>
      </w:r>
      <w:r w:rsidR="00CD2BDC">
        <w:rPr>
          <w:rFonts w:cs="Arial"/>
          <w:szCs w:val="22"/>
        </w:rPr>
        <w:t xml:space="preserve">of the US allocation of 2690-2900 MHz provides </w:t>
      </w:r>
      <w:r w:rsidRPr="005273FE">
        <w:rPr>
          <w:rFonts w:cs="Arial"/>
          <w:szCs w:val="22"/>
        </w:rPr>
        <w:t xml:space="preserve">ISED </w:t>
      </w:r>
      <w:r w:rsidR="00CD2BDC">
        <w:rPr>
          <w:rFonts w:cs="Arial"/>
          <w:szCs w:val="22"/>
        </w:rPr>
        <w:t xml:space="preserve">with </w:t>
      </w:r>
      <w:r w:rsidRPr="005273FE">
        <w:rPr>
          <w:rFonts w:cs="Arial"/>
          <w:szCs w:val="22"/>
        </w:rPr>
        <w:t xml:space="preserve">an opportunity to harmonize the </w:t>
      </w:r>
      <w:r w:rsidR="00F47996">
        <w:rPr>
          <w:rFonts w:cs="Arial"/>
          <w:szCs w:val="22"/>
        </w:rPr>
        <w:t xml:space="preserve">2500 MHz spectrum </w:t>
      </w:r>
      <w:r w:rsidRPr="005273FE">
        <w:rPr>
          <w:rFonts w:cs="Arial"/>
          <w:szCs w:val="22"/>
        </w:rPr>
        <w:t xml:space="preserve">band with an expanded </w:t>
      </w:r>
      <w:r w:rsidR="00F47996">
        <w:rPr>
          <w:rFonts w:cs="Arial"/>
          <w:szCs w:val="22"/>
        </w:rPr>
        <w:t xml:space="preserve">2690 to 2900 MHz </w:t>
      </w:r>
      <w:r w:rsidRPr="005273FE">
        <w:rPr>
          <w:rFonts w:cs="Arial"/>
          <w:szCs w:val="22"/>
        </w:rPr>
        <w:t xml:space="preserve">6G band, supporting larger contiguous channels and enabling a smooth shift to TDD-based operations in the future. </w:t>
      </w:r>
      <w:r>
        <w:rPr>
          <w:rFonts w:cs="Arial"/>
          <w:szCs w:val="22"/>
        </w:rPr>
        <w:t xml:space="preserve"> </w:t>
      </w:r>
      <w:r w:rsidR="00954488" w:rsidRPr="005273FE">
        <w:rPr>
          <w:rFonts w:cs="Arial"/>
          <w:color w:val="000000"/>
        </w:rPr>
        <w:t>The optimal result for both MNOs and Canadians would be for ISED to conduct an auction for the 2690-2900 MHz band, followed by an assignment round that guarantees contiguous spectrum across the expanded band before the transition takes place.</w:t>
      </w:r>
    </w:p>
    <w:p w14:paraId="1DD79541" w14:textId="77777777" w:rsidR="00D859C2" w:rsidRPr="00D859C2" w:rsidRDefault="00D859C2" w:rsidP="00D6774C">
      <w:pPr>
        <w:widowControl/>
        <w:tabs>
          <w:tab w:val="clear" w:pos="720"/>
        </w:tabs>
        <w:spacing w:line="360" w:lineRule="auto"/>
        <w:jc w:val="both"/>
        <w:rPr>
          <w:rFonts w:cs="Arial"/>
          <w:color w:val="000000"/>
        </w:rPr>
      </w:pPr>
    </w:p>
    <w:p w14:paraId="75D57551" w14:textId="65962920" w:rsidR="007C003E" w:rsidRPr="007C003E" w:rsidRDefault="00184A4F" w:rsidP="00D6774C">
      <w:pPr>
        <w:widowControl/>
        <w:numPr>
          <w:ilvl w:val="0"/>
          <w:numId w:val="1"/>
        </w:numPr>
        <w:spacing w:line="360" w:lineRule="auto"/>
        <w:jc w:val="both"/>
        <w:rPr>
          <w:rFonts w:cs="Arial"/>
          <w:szCs w:val="22"/>
        </w:rPr>
      </w:pPr>
      <w:r w:rsidRPr="005273FE">
        <w:rPr>
          <w:rFonts w:cs="Arial"/>
          <w:szCs w:val="22"/>
        </w:rPr>
        <w:t>Sask</w:t>
      </w:r>
      <w:r w:rsidR="0025718C">
        <w:rPr>
          <w:rFonts w:cs="Arial"/>
          <w:szCs w:val="22"/>
        </w:rPr>
        <w:t>t</w:t>
      </w:r>
      <w:r w:rsidRPr="005273FE">
        <w:rPr>
          <w:rFonts w:cs="Arial"/>
          <w:szCs w:val="22"/>
        </w:rPr>
        <w:t xml:space="preserve">el proposes that ISED </w:t>
      </w:r>
      <w:r>
        <w:rPr>
          <w:rFonts w:cs="Arial"/>
          <w:szCs w:val="22"/>
        </w:rPr>
        <w:t>"</w:t>
      </w:r>
      <w:r w:rsidRPr="005273FE">
        <w:rPr>
          <w:rFonts w:cs="Arial"/>
          <w:szCs w:val="22"/>
        </w:rPr>
        <w:t>allow the licensee to continue to operate in B38 for 5 years after the transition</w:t>
      </w:r>
      <w:r>
        <w:rPr>
          <w:rFonts w:cs="Arial"/>
          <w:szCs w:val="22"/>
        </w:rPr>
        <w:t>"</w:t>
      </w:r>
      <w:r w:rsidRPr="005273FE">
        <w:rPr>
          <w:rFonts w:cs="Arial"/>
          <w:szCs w:val="22"/>
        </w:rPr>
        <w:t xml:space="preserve"> after which </w:t>
      </w:r>
      <w:r>
        <w:rPr>
          <w:rFonts w:cs="Arial"/>
          <w:szCs w:val="22"/>
        </w:rPr>
        <w:t>"</w:t>
      </w:r>
      <w:r w:rsidRPr="005273FE">
        <w:rPr>
          <w:rFonts w:cs="Arial"/>
          <w:szCs w:val="22"/>
        </w:rPr>
        <w:t>the block assignments would be rearranged to allow all operators to have contiguous spectrum in the band.</w:t>
      </w:r>
      <w:r>
        <w:rPr>
          <w:rFonts w:cs="Arial"/>
          <w:szCs w:val="22"/>
        </w:rPr>
        <w:t>"</w:t>
      </w:r>
      <w:r w:rsidRPr="005273FE">
        <w:rPr>
          <w:rStyle w:val="FootnoteReference"/>
          <w:rFonts w:cs="Arial"/>
          <w:szCs w:val="22"/>
        </w:rPr>
        <w:footnoteReference w:id="51"/>
      </w:r>
      <w:r w:rsidRPr="005273FE">
        <w:rPr>
          <w:rFonts w:cs="Arial"/>
          <w:szCs w:val="22"/>
        </w:rPr>
        <w:t xml:space="preserve">  We do not support a blanket five-year protection period following the transition.  The proposed transition plan already envisions the first phase completing approximately seven years from now (2033) and the final phase approximately ten years from now (2036).  Band 38 licensees will therefore have had substantial advance notice and time to plan for the transition.  Adding an additional five-year protection period on top of these timelines would prevent all licensees from acquiring contiguous spectrum in the affected service areas for up to fifteen years from today, leading to prolonged spectrum fragmentation that would undermine the very efficiency gains the transition is intended to deliver.</w:t>
      </w:r>
      <w:r w:rsidR="007C003E" w:rsidRPr="007C003E">
        <w:rPr>
          <w:rFonts w:cs="Arial"/>
          <w:szCs w:val="22"/>
        </w:rPr>
        <w:br w:type="page"/>
      </w:r>
    </w:p>
    <w:p w14:paraId="7BB8A77B" w14:textId="216BC0D0" w:rsidR="00184A4F" w:rsidRDefault="00184A4F" w:rsidP="00D6774C">
      <w:pPr>
        <w:widowControl/>
        <w:numPr>
          <w:ilvl w:val="0"/>
          <w:numId w:val="1"/>
        </w:numPr>
        <w:spacing w:line="360" w:lineRule="auto"/>
        <w:jc w:val="both"/>
        <w:rPr>
          <w:rFonts w:cs="Arial"/>
          <w:szCs w:val="22"/>
        </w:rPr>
      </w:pPr>
      <w:r w:rsidRPr="005273FE">
        <w:rPr>
          <w:rFonts w:cs="Arial"/>
          <w:szCs w:val="22"/>
        </w:rPr>
        <w:lastRenderedPageBreak/>
        <w:t xml:space="preserve">As we stated in our initial comments, all operators, </w:t>
      </w:r>
      <w:r>
        <w:rPr>
          <w:rFonts w:cs="Arial"/>
          <w:szCs w:val="22"/>
        </w:rPr>
        <w:t>"</w:t>
      </w:r>
      <w:r w:rsidRPr="005273FE">
        <w:rPr>
          <w:rFonts w:cs="Arial"/>
          <w:szCs w:val="22"/>
        </w:rPr>
        <w:t>including Band 38 licensees, must be assigned new frequencies within the new TDD-based 2500 MHz band plan</w:t>
      </w:r>
      <w:r>
        <w:rPr>
          <w:rFonts w:cs="Arial"/>
          <w:szCs w:val="22"/>
        </w:rPr>
        <w:t>"</w:t>
      </w:r>
      <w:r w:rsidRPr="005273FE">
        <w:rPr>
          <w:rFonts w:cs="Arial"/>
          <w:szCs w:val="22"/>
        </w:rPr>
        <w:t xml:space="preserve"> to achieve contiguous spectrum for all licensees.</w:t>
      </w:r>
      <w:r w:rsidRPr="005273FE">
        <w:rPr>
          <w:rStyle w:val="FootnoteReference"/>
          <w:rFonts w:cs="Arial"/>
          <w:szCs w:val="22"/>
        </w:rPr>
        <w:footnoteReference w:id="52"/>
      </w:r>
      <w:r w:rsidRPr="005273FE">
        <w:rPr>
          <w:rFonts w:cs="Arial"/>
          <w:szCs w:val="22"/>
        </w:rPr>
        <w:t xml:space="preserve">  Furthermore, a five-year protection period could impose additional costs on other licensees who may be required to retune their equipment multiple times</w:t>
      </w:r>
      <w:r w:rsidR="00186467">
        <w:rPr>
          <w:rFonts w:cs="Arial"/>
          <w:szCs w:val="22"/>
        </w:rPr>
        <w:t xml:space="preserve"> – </w:t>
      </w:r>
      <w:r w:rsidRPr="005273FE">
        <w:rPr>
          <w:rFonts w:cs="Arial"/>
          <w:szCs w:val="22"/>
        </w:rPr>
        <w:t>first</w:t>
      </w:r>
      <w:r w:rsidR="00186467">
        <w:rPr>
          <w:rFonts w:cs="Arial"/>
          <w:szCs w:val="22"/>
        </w:rPr>
        <w:t>,</w:t>
      </w:r>
      <w:r w:rsidRPr="005273FE">
        <w:rPr>
          <w:rFonts w:cs="Arial"/>
          <w:szCs w:val="22"/>
        </w:rPr>
        <w:t xml:space="preserve"> to accommodate non-contiguous assignments around protected Band 38 blocks, and then again once the protection period expires and the band is finally rearranged.  This would be inefficient and contrary to the interests of the broader industry and Canadians.  However, we are open to working with Band 38 spectrum licensees through the industry-led process to develop reasonable accommodations.</w:t>
      </w:r>
    </w:p>
    <w:p w14:paraId="0281C38B" w14:textId="77777777" w:rsidR="00184A4F" w:rsidRDefault="00184A4F" w:rsidP="00D6774C">
      <w:pPr>
        <w:widowControl/>
        <w:jc w:val="both"/>
        <w:rPr>
          <w:rFonts w:cs="Arial"/>
          <w:szCs w:val="22"/>
        </w:rPr>
      </w:pPr>
    </w:p>
    <w:p w14:paraId="5A1DBC99" w14:textId="77777777" w:rsidR="00184A4F" w:rsidRDefault="00184A4F" w:rsidP="00D6774C">
      <w:pPr>
        <w:tabs>
          <w:tab w:val="clear" w:pos="720"/>
        </w:tabs>
        <w:ind w:left="1440" w:hanging="720"/>
        <w:jc w:val="both"/>
        <w:rPr>
          <w:rFonts w:cs="Arial"/>
          <w:b/>
          <w:bCs/>
          <w:iCs/>
          <w:szCs w:val="22"/>
        </w:rPr>
      </w:pPr>
      <w:r>
        <w:rPr>
          <w:rFonts w:cs="Arial"/>
          <w:b/>
          <w:bCs/>
          <w:iCs/>
          <w:szCs w:val="22"/>
        </w:rPr>
        <w:t>d.</w:t>
      </w:r>
      <w:r>
        <w:rPr>
          <w:rFonts w:cs="Arial"/>
          <w:b/>
          <w:bCs/>
          <w:iCs/>
          <w:szCs w:val="22"/>
        </w:rPr>
        <w:tab/>
      </w:r>
      <w:r w:rsidRPr="0089328E">
        <w:rPr>
          <w:rFonts w:cs="Arial"/>
          <w:b/>
          <w:bCs/>
          <w:iCs/>
          <w:szCs w:val="22"/>
        </w:rPr>
        <w:t>what is the appropriate tier level for the transition and how might the deployment requirements be adjusted to reflect this?</w:t>
      </w:r>
    </w:p>
    <w:p w14:paraId="34CCEAE8" w14:textId="77777777" w:rsidR="00184A4F" w:rsidRDefault="00184A4F" w:rsidP="00D6774C">
      <w:pPr>
        <w:widowControl/>
        <w:spacing w:line="360" w:lineRule="auto"/>
        <w:jc w:val="both"/>
        <w:rPr>
          <w:rFonts w:cs="Arial"/>
          <w:szCs w:val="22"/>
        </w:rPr>
      </w:pPr>
    </w:p>
    <w:p w14:paraId="0AE04747" w14:textId="4CB4AAE8" w:rsidR="00D859C2" w:rsidRDefault="00643C15" w:rsidP="00D6774C">
      <w:pPr>
        <w:widowControl/>
        <w:numPr>
          <w:ilvl w:val="0"/>
          <w:numId w:val="1"/>
        </w:numPr>
        <w:spacing w:line="360" w:lineRule="auto"/>
        <w:jc w:val="both"/>
        <w:rPr>
          <w:rFonts w:cs="Arial"/>
          <w:szCs w:val="22"/>
        </w:rPr>
      </w:pPr>
      <w:r w:rsidRPr="005273FE">
        <w:rPr>
          <w:rFonts w:cs="Arial"/>
          <w:szCs w:val="22"/>
        </w:rPr>
        <w:t>We recommend that the transition should follow the geographic areas defined by a three</w:t>
      </w:r>
      <w:r w:rsidR="00294026">
        <w:rPr>
          <w:rFonts w:cs="Arial"/>
          <w:szCs w:val="22"/>
        </w:rPr>
        <w:noBreakHyphen/>
      </w:r>
      <w:r w:rsidRPr="005273FE">
        <w:rPr>
          <w:rFonts w:cs="Arial"/>
          <w:szCs w:val="22"/>
        </w:rPr>
        <w:t>zone approach identified through industry negotiations rather than being rigidly tied to a specific tier level.  These areas would mostly comprise Tier 3 licence areas, with certain Tier</w:t>
      </w:r>
      <w:r w:rsidR="00294026">
        <w:rPr>
          <w:rFonts w:cs="Arial"/>
          <w:szCs w:val="22"/>
        </w:rPr>
        <w:t> </w:t>
      </w:r>
      <w:r w:rsidRPr="005273FE">
        <w:rPr>
          <w:rFonts w:cs="Arial"/>
          <w:szCs w:val="22"/>
        </w:rPr>
        <w:t xml:space="preserve">4 adjustments as necessary.  Rogers, Cogeco, and Telus also recommend using the regions identified in </w:t>
      </w:r>
      <w:r w:rsidR="00294026">
        <w:rPr>
          <w:rFonts w:cs="Arial"/>
          <w:szCs w:val="22"/>
        </w:rPr>
        <w:t xml:space="preserve">Question </w:t>
      </w:r>
      <w:r w:rsidRPr="005273FE">
        <w:rPr>
          <w:rFonts w:cs="Arial"/>
          <w:szCs w:val="22"/>
        </w:rPr>
        <w:t>4a above</w:t>
      </w:r>
      <w:r w:rsidR="00294026">
        <w:rPr>
          <w:rFonts w:cs="Arial"/>
          <w:szCs w:val="22"/>
        </w:rPr>
        <w:t>,</w:t>
      </w:r>
      <w:r w:rsidRPr="005273FE">
        <w:rPr>
          <w:rFonts w:cs="Arial"/>
          <w:szCs w:val="22"/>
        </w:rPr>
        <w:t xml:space="preserve"> rather than strict tier-level transitions.</w:t>
      </w:r>
      <w:r w:rsidRPr="005273FE">
        <w:rPr>
          <w:rStyle w:val="FootnoteReference"/>
          <w:rFonts w:cs="Arial"/>
          <w:szCs w:val="22"/>
        </w:rPr>
        <w:footnoteReference w:id="53"/>
      </w:r>
    </w:p>
    <w:p w14:paraId="00B139F8" w14:textId="77777777" w:rsidR="007C003E" w:rsidRPr="00D859C2" w:rsidRDefault="007C003E" w:rsidP="00D6774C">
      <w:pPr>
        <w:widowControl/>
        <w:tabs>
          <w:tab w:val="clear" w:pos="720"/>
        </w:tabs>
        <w:spacing w:line="360" w:lineRule="auto"/>
        <w:jc w:val="both"/>
        <w:rPr>
          <w:rFonts w:cs="Arial"/>
          <w:szCs w:val="22"/>
        </w:rPr>
      </w:pPr>
    </w:p>
    <w:p w14:paraId="654EB5CA" w14:textId="7B862CF6" w:rsidR="00643C15" w:rsidRDefault="00643C15" w:rsidP="00D6774C">
      <w:pPr>
        <w:widowControl/>
        <w:numPr>
          <w:ilvl w:val="0"/>
          <w:numId w:val="1"/>
        </w:numPr>
        <w:spacing w:line="360" w:lineRule="auto"/>
        <w:jc w:val="both"/>
        <w:rPr>
          <w:rFonts w:cs="Arial"/>
          <w:szCs w:val="22"/>
        </w:rPr>
      </w:pPr>
      <w:r w:rsidRPr="005273FE">
        <w:rPr>
          <w:rFonts w:cs="Arial"/>
          <w:szCs w:val="22"/>
        </w:rPr>
        <w:t xml:space="preserve">Eastlink recommends that the Tier 4 level be used, arguing that </w:t>
      </w:r>
      <w:r>
        <w:rPr>
          <w:rFonts w:cs="Arial"/>
          <w:szCs w:val="22"/>
        </w:rPr>
        <w:t>"</w:t>
      </w:r>
      <w:r w:rsidRPr="005273FE">
        <w:rPr>
          <w:rFonts w:cs="Arial"/>
          <w:szCs w:val="22"/>
        </w:rPr>
        <w:t>the Tier 4 level strikes the appropriate balance</w:t>
      </w:r>
      <w:r>
        <w:rPr>
          <w:rFonts w:cs="Arial"/>
          <w:szCs w:val="22"/>
        </w:rPr>
        <w:t>"</w:t>
      </w:r>
      <w:r w:rsidRPr="005273FE">
        <w:rPr>
          <w:rFonts w:cs="Arial"/>
          <w:szCs w:val="22"/>
        </w:rPr>
        <w:t xml:space="preserve"> between operational feasibility and coordination complexity.</w:t>
      </w:r>
      <w:r w:rsidRPr="005273FE">
        <w:rPr>
          <w:rStyle w:val="FootnoteReference"/>
          <w:rFonts w:cs="Arial"/>
          <w:szCs w:val="22"/>
        </w:rPr>
        <w:footnoteReference w:id="54"/>
      </w:r>
      <w:r w:rsidRPr="005273FE">
        <w:rPr>
          <w:rFonts w:cs="Arial"/>
          <w:szCs w:val="22"/>
        </w:rPr>
        <w:t xml:space="preserve"> </w:t>
      </w:r>
      <w:r w:rsidR="00EA3DA9">
        <w:rPr>
          <w:rFonts w:cs="Arial"/>
          <w:szCs w:val="22"/>
        </w:rPr>
        <w:t xml:space="preserve"> </w:t>
      </w:r>
      <w:r w:rsidRPr="005273FE">
        <w:rPr>
          <w:rFonts w:cs="Arial"/>
          <w:szCs w:val="22"/>
        </w:rPr>
        <w:t>We disagree.  A Tier 4-based transition would create an excessively large number of transition boundaries, each requiring coordination between FDD and TDD operations.  This would significantly increase the risk of interference and the complexity of the overall transition process.  As Sask</w:t>
      </w:r>
      <w:r w:rsidR="0025718C">
        <w:rPr>
          <w:rFonts w:cs="Arial"/>
          <w:szCs w:val="22"/>
        </w:rPr>
        <w:t>t</w:t>
      </w:r>
      <w:r w:rsidRPr="005273FE">
        <w:rPr>
          <w:rFonts w:cs="Arial"/>
          <w:szCs w:val="22"/>
        </w:rPr>
        <w:t xml:space="preserve">el notes, the three-zone approach </w:t>
      </w:r>
      <w:r>
        <w:rPr>
          <w:rFonts w:cs="Arial"/>
          <w:szCs w:val="22"/>
        </w:rPr>
        <w:t>"</w:t>
      </w:r>
      <w:r w:rsidRPr="005273FE">
        <w:rPr>
          <w:rFonts w:cs="Arial"/>
          <w:szCs w:val="22"/>
        </w:rPr>
        <w:t>mitigate[s] some of the interference issues between geographical areas and spread[s] the transition over multiple years to lessen the burden of hardware replacements.</w:t>
      </w:r>
      <w:r>
        <w:rPr>
          <w:rFonts w:cs="Arial"/>
          <w:szCs w:val="22"/>
        </w:rPr>
        <w:t>"</w:t>
      </w:r>
      <w:r w:rsidRPr="005273FE">
        <w:rPr>
          <w:rStyle w:val="FootnoteReference"/>
          <w:rFonts w:cs="Arial"/>
          <w:szCs w:val="22"/>
        </w:rPr>
        <w:footnoteReference w:id="55"/>
      </w:r>
    </w:p>
    <w:p w14:paraId="7BF4205E" w14:textId="25F7A11B" w:rsidR="00876A9B" w:rsidRDefault="00876A9B">
      <w:pPr>
        <w:widowControl/>
        <w:tabs>
          <w:tab w:val="clear" w:pos="720"/>
        </w:tabs>
        <w:spacing w:after="160" w:line="259" w:lineRule="auto"/>
        <w:rPr>
          <w:rFonts w:cs="Arial"/>
          <w:szCs w:val="22"/>
        </w:rPr>
      </w:pPr>
      <w:r>
        <w:rPr>
          <w:rFonts w:cs="Arial"/>
          <w:szCs w:val="22"/>
        </w:rPr>
        <w:br w:type="page"/>
      </w:r>
    </w:p>
    <w:p w14:paraId="0673A745" w14:textId="77777777" w:rsidR="00643C15" w:rsidRDefault="00643C15" w:rsidP="00D6774C">
      <w:pPr>
        <w:tabs>
          <w:tab w:val="clear" w:pos="720"/>
        </w:tabs>
        <w:ind w:left="1440" w:hanging="720"/>
        <w:jc w:val="both"/>
        <w:rPr>
          <w:rFonts w:cs="Arial"/>
          <w:b/>
          <w:bCs/>
          <w:iCs/>
          <w:szCs w:val="22"/>
        </w:rPr>
      </w:pPr>
      <w:r>
        <w:rPr>
          <w:rFonts w:cs="Arial"/>
          <w:b/>
          <w:bCs/>
          <w:iCs/>
          <w:szCs w:val="22"/>
        </w:rPr>
        <w:lastRenderedPageBreak/>
        <w:t>e.</w:t>
      </w:r>
      <w:r>
        <w:rPr>
          <w:rFonts w:cs="Arial"/>
          <w:b/>
          <w:bCs/>
          <w:iCs/>
          <w:szCs w:val="22"/>
        </w:rPr>
        <w:tab/>
      </w:r>
      <w:r w:rsidRPr="0089328E">
        <w:rPr>
          <w:rFonts w:cs="Arial"/>
          <w:b/>
          <w:bCs/>
          <w:iCs/>
          <w:szCs w:val="22"/>
        </w:rPr>
        <w:t>are there any temporary or longer term technical requirements that ISED should consider to minimize the potential for interference conflicts during the transition period?</w:t>
      </w:r>
    </w:p>
    <w:p w14:paraId="64C22C33" w14:textId="77777777" w:rsidR="00643C15" w:rsidRDefault="00643C15" w:rsidP="00D6774C">
      <w:pPr>
        <w:widowControl/>
        <w:spacing w:line="360" w:lineRule="auto"/>
        <w:jc w:val="both"/>
        <w:rPr>
          <w:rFonts w:cs="Arial"/>
          <w:szCs w:val="22"/>
        </w:rPr>
      </w:pPr>
    </w:p>
    <w:p w14:paraId="698B81B0" w14:textId="2C936C5A" w:rsidR="00643C15" w:rsidRPr="005273FE" w:rsidRDefault="00643C15" w:rsidP="00D6774C">
      <w:pPr>
        <w:widowControl/>
        <w:numPr>
          <w:ilvl w:val="0"/>
          <w:numId w:val="1"/>
        </w:numPr>
        <w:spacing w:line="360" w:lineRule="auto"/>
        <w:jc w:val="both"/>
        <w:rPr>
          <w:rFonts w:cs="Arial"/>
          <w:szCs w:val="22"/>
        </w:rPr>
      </w:pPr>
      <w:r w:rsidRPr="005273FE">
        <w:rPr>
          <w:rFonts w:cs="Arial"/>
          <w:szCs w:val="22"/>
        </w:rPr>
        <w:t>As we recommended in our comments,</w:t>
      </w:r>
      <w:r w:rsidRPr="005273FE">
        <w:rPr>
          <w:rStyle w:val="FootnoteReference"/>
          <w:rFonts w:cs="Arial"/>
          <w:szCs w:val="22"/>
        </w:rPr>
        <w:footnoteReference w:id="56"/>
      </w:r>
      <w:r w:rsidRPr="005273FE">
        <w:rPr>
          <w:rFonts w:cs="Arial"/>
          <w:szCs w:val="22"/>
        </w:rPr>
        <w:t xml:space="preserve"> interference management during the transition can be effectively addressed through coordination among licensees without the need for additional prescriptive technical requirements in the SRSP. </w:t>
      </w:r>
      <w:r w:rsidR="002069CC">
        <w:rPr>
          <w:rFonts w:cs="Arial"/>
          <w:szCs w:val="22"/>
        </w:rPr>
        <w:t xml:space="preserve"> </w:t>
      </w:r>
      <w:r w:rsidRPr="005273FE">
        <w:rPr>
          <w:rFonts w:cs="Arial"/>
          <w:szCs w:val="22"/>
        </w:rPr>
        <w:t xml:space="preserve">Telus agrees that </w:t>
      </w:r>
      <w:r>
        <w:rPr>
          <w:rFonts w:cs="Arial"/>
          <w:szCs w:val="22"/>
        </w:rPr>
        <w:t>"</w:t>
      </w:r>
      <w:r w:rsidRPr="005273FE">
        <w:rPr>
          <w:rFonts w:cs="Arial"/>
          <w:szCs w:val="22"/>
        </w:rPr>
        <w:t>an updated version of SRSP-517 need not prescribe technical coexistence measures that would apply during transition.</w:t>
      </w:r>
      <w:r>
        <w:rPr>
          <w:rFonts w:cs="Arial"/>
          <w:szCs w:val="22"/>
        </w:rPr>
        <w:t>"</w:t>
      </w:r>
      <w:r w:rsidRPr="005273FE">
        <w:rPr>
          <w:rStyle w:val="FootnoteReference"/>
          <w:rFonts w:cs="Arial"/>
          <w:szCs w:val="22"/>
        </w:rPr>
        <w:footnoteReference w:id="57"/>
      </w:r>
    </w:p>
    <w:p w14:paraId="27FB3E31" w14:textId="77777777" w:rsidR="00643C15" w:rsidRPr="005273FE" w:rsidRDefault="00643C15" w:rsidP="00D6774C">
      <w:pPr>
        <w:widowControl/>
        <w:spacing w:line="360" w:lineRule="auto"/>
        <w:jc w:val="both"/>
        <w:rPr>
          <w:rFonts w:cs="Arial"/>
          <w:szCs w:val="22"/>
        </w:rPr>
      </w:pPr>
    </w:p>
    <w:p w14:paraId="6C8D9DF0" w14:textId="288A3D40" w:rsidR="00643C15" w:rsidRDefault="00643C15" w:rsidP="00D6774C">
      <w:pPr>
        <w:widowControl/>
        <w:numPr>
          <w:ilvl w:val="0"/>
          <w:numId w:val="1"/>
        </w:numPr>
        <w:spacing w:line="360" w:lineRule="auto"/>
        <w:jc w:val="both"/>
        <w:rPr>
          <w:rFonts w:cs="Arial"/>
          <w:szCs w:val="22"/>
        </w:rPr>
      </w:pPr>
      <w:r w:rsidRPr="005273FE">
        <w:rPr>
          <w:rFonts w:cs="Arial"/>
          <w:szCs w:val="22"/>
        </w:rPr>
        <w:t xml:space="preserve">We further reiterate our recommendation that ISED finalize updates to the RSS and SRSP documents at the earliest opportunity, with technical parameters for Band 41 equipment that mirror those adopted in the US.  As Nokia states, alignment with </w:t>
      </w:r>
      <w:r>
        <w:rPr>
          <w:rFonts w:cs="Arial"/>
          <w:szCs w:val="22"/>
        </w:rPr>
        <w:t>"</w:t>
      </w:r>
      <w:r w:rsidRPr="005273FE">
        <w:rPr>
          <w:rFonts w:cs="Arial"/>
          <w:szCs w:val="22"/>
        </w:rPr>
        <w:t xml:space="preserve">the </w:t>
      </w:r>
      <w:r w:rsidR="003A2436">
        <w:rPr>
          <w:rFonts w:cs="Arial"/>
          <w:szCs w:val="22"/>
        </w:rPr>
        <w:t xml:space="preserve">[Band] </w:t>
      </w:r>
      <w:r w:rsidRPr="005273FE">
        <w:rPr>
          <w:rFonts w:cs="Arial"/>
          <w:szCs w:val="22"/>
        </w:rPr>
        <w:t>n41 US band plan which extends from 2496 to 2690 MHz and to adopt similar emissions limits</w:t>
      </w:r>
      <w:r>
        <w:rPr>
          <w:rFonts w:cs="Arial"/>
          <w:szCs w:val="22"/>
        </w:rPr>
        <w:t>"</w:t>
      </w:r>
      <w:r w:rsidRPr="005273FE">
        <w:rPr>
          <w:rFonts w:cs="Arial"/>
          <w:szCs w:val="22"/>
        </w:rPr>
        <w:t xml:space="preserve"> will allow the Canadian industry to benefit from economies of scale by having access to the US equipment ecosystem.</w:t>
      </w:r>
      <w:r w:rsidRPr="005273FE">
        <w:rPr>
          <w:rStyle w:val="FootnoteReference"/>
          <w:rFonts w:cs="Arial"/>
          <w:szCs w:val="22"/>
        </w:rPr>
        <w:footnoteReference w:id="58"/>
      </w:r>
    </w:p>
    <w:p w14:paraId="6F2FFA9C" w14:textId="77777777" w:rsidR="00643C15" w:rsidRDefault="00643C15" w:rsidP="00D6774C">
      <w:pPr>
        <w:widowControl/>
        <w:jc w:val="both"/>
        <w:rPr>
          <w:rFonts w:cs="Arial"/>
          <w:szCs w:val="22"/>
        </w:rPr>
      </w:pPr>
    </w:p>
    <w:p w14:paraId="7D612224" w14:textId="77777777" w:rsidR="006F5449" w:rsidRPr="0089328E" w:rsidRDefault="006F5449" w:rsidP="00D6774C">
      <w:pPr>
        <w:tabs>
          <w:tab w:val="clear" w:pos="720"/>
        </w:tabs>
        <w:ind w:left="1440" w:hanging="720"/>
        <w:jc w:val="both"/>
        <w:rPr>
          <w:rFonts w:cs="Arial"/>
          <w:b/>
          <w:bCs/>
          <w:iCs/>
          <w:szCs w:val="22"/>
        </w:rPr>
      </w:pPr>
      <w:r>
        <w:rPr>
          <w:rFonts w:cs="Arial"/>
          <w:b/>
          <w:bCs/>
          <w:iCs/>
          <w:szCs w:val="22"/>
        </w:rPr>
        <w:t>f.</w:t>
      </w:r>
      <w:r>
        <w:rPr>
          <w:rFonts w:cs="Arial"/>
          <w:b/>
          <w:bCs/>
          <w:iCs/>
          <w:szCs w:val="22"/>
        </w:rPr>
        <w:tab/>
      </w:r>
      <w:r w:rsidRPr="0089328E">
        <w:rPr>
          <w:rFonts w:cs="Arial"/>
          <w:b/>
          <w:bCs/>
          <w:iCs/>
          <w:szCs w:val="22"/>
        </w:rPr>
        <w:t>are there any other key elements that ISED should consider for a transition plan?</w:t>
      </w:r>
    </w:p>
    <w:p w14:paraId="1B9AB06F" w14:textId="77777777" w:rsidR="00643C15" w:rsidRDefault="00643C15" w:rsidP="00D6774C">
      <w:pPr>
        <w:widowControl/>
        <w:spacing w:line="360" w:lineRule="auto"/>
        <w:jc w:val="both"/>
        <w:rPr>
          <w:rFonts w:cs="Arial"/>
          <w:szCs w:val="22"/>
        </w:rPr>
      </w:pPr>
    </w:p>
    <w:p w14:paraId="12A4807E" w14:textId="523C0EEC" w:rsidR="00D859C2" w:rsidRDefault="00137990" w:rsidP="00D6774C">
      <w:pPr>
        <w:widowControl/>
        <w:numPr>
          <w:ilvl w:val="0"/>
          <w:numId w:val="1"/>
        </w:numPr>
        <w:spacing w:line="360" w:lineRule="auto"/>
        <w:jc w:val="both"/>
        <w:rPr>
          <w:rFonts w:cs="Arial"/>
          <w:szCs w:val="22"/>
        </w:rPr>
      </w:pPr>
      <w:r w:rsidRPr="005273FE">
        <w:rPr>
          <w:rFonts w:cs="Arial"/>
          <w:szCs w:val="22"/>
        </w:rPr>
        <w:t xml:space="preserve">Rogers proposes that ISED license the currently restricted guard band spectrum through a competitive auction process, noting that there is </w:t>
      </w:r>
      <w:r>
        <w:rPr>
          <w:rFonts w:cs="Arial"/>
          <w:szCs w:val="22"/>
        </w:rPr>
        <w:t>"</w:t>
      </w:r>
      <w:r w:rsidRPr="005273FE">
        <w:rPr>
          <w:rFonts w:cs="Arial"/>
          <w:szCs w:val="22"/>
        </w:rPr>
        <w:t>nearly 300 million MHz-Pops of unassigned TDD spectrum in Canada</w:t>
      </w:r>
      <w:r>
        <w:rPr>
          <w:rFonts w:cs="Arial"/>
          <w:szCs w:val="22"/>
        </w:rPr>
        <w:t>"</w:t>
      </w:r>
      <w:r w:rsidRPr="005273FE">
        <w:rPr>
          <w:rFonts w:cs="Arial"/>
          <w:szCs w:val="22"/>
        </w:rPr>
        <w:t xml:space="preserve"> with </w:t>
      </w:r>
      <w:r>
        <w:rPr>
          <w:rFonts w:cs="Arial"/>
          <w:szCs w:val="22"/>
        </w:rPr>
        <w:t>"</w:t>
      </w:r>
      <w:r w:rsidRPr="005273FE">
        <w:rPr>
          <w:rFonts w:cs="Arial"/>
          <w:szCs w:val="22"/>
        </w:rPr>
        <w:t>5-10MHz of unassigned TDD spectrum in every provincial Tier 3 licence area across the country.</w:t>
      </w:r>
      <w:r>
        <w:rPr>
          <w:rFonts w:cs="Arial"/>
          <w:szCs w:val="22"/>
        </w:rPr>
        <w:t>"</w:t>
      </w:r>
      <w:r w:rsidRPr="005273FE">
        <w:rPr>
          <w:rStyle w:val="FootnoteReference"/>
          <w:rFonts w:cs="Arial"/>
          <w:szCs w:val="22"/>
        </w:rPr>
        <w:footnoteReference w:id="59"/>
      </w:r>
      <w:r w:rsidRPr="005273FE">
        <w:rPr>
          <w:rFonts w:cs="Arial"/>
          <w:szCs w:val="22"/>
        </w:rPr>
        <w:t xml:space="preserve">  Rogers further recommends that </w:t>
      </w:r>
      <w:r>
        <w:rPr>
          <w:rFonts w:cs="Arial"/>
          <w:szCs w:val="22"/>
        </w:rPr>
        <w:t>"</w:t>
      </w:r>
      <w:r w:rsidRPr="005273FE">
        <w:rPr>
          <w:rFonts w:cs="Arial"/>
          <w:szCs w:val="22"/>
        </w:rPr>
        <w:t>the Department also include any assigned guard band to make a 10 MHz TDD block available for auction at the Tier 3 licence area across the country</w:t>
      </w:r>
      <w:r>
        <w:rPr>
          <w:rFonts w:cs="Arial"/>
          <w:szCs w:val="22"/>
        </w:rPr>
        <w:t>"</w:t>
      </w:r>
      <w:r w:rsidRPr="005273FE">
        <w:rPr>
          <w:rStyle w:val="FootnoteReference"/>
          <w:rFonts w:cs="Arial"/>
          <w:szCs w:val="22"/>
        </w:rPr>
        <w:footnoteReference w:id="60"/>
      </w:r>
      <w:r w:rsidRPr="005273FE">
        <w:rPr>
          <w:rFonts w:cs="Arial"/>
          <w:szCs w:val="22"/>
        </w:rPr>
        <w:t xml:space="preserve"> and suggests an assignment round structure similar to the 3500 MHz band, where all 2500 MHz spectrum holdings would be included in the assignment round.</w:t>
      </w:r>
    </w:p>
    <w:p w14:paraId="6D36726C" w14:textId="77777777" w:rsidR="00D859C2" w:rsidRPr="00D859C2" w:rsidRDefault="00D859C2" w:rsidP="00D6774C">
      <w:pPr>
        <w:widowControl/>
        <w:tabs>
          <w:tab w:val="clear" w:pos="720"/>
        </w:tabs>
        <w:spacing w:line="360" w:lineRule="auto"/>
        <w:jc w:val="both"/>
        <w:rPr>
          <w:rFonts w:cs="Arial"/>
          <w:szCs w:val="22"/>
        </w:rPr>
      </w:pPr>
    </w:p>
    <w:p w14:paraId="7795AF8D" w14:textId="2219EE33" w:rsidR="00137990" w:rsidRPr="005273FE" w:rsidRDefault="00137990" w:rsidP="00D6774C">
      <w:pPr>
        <w:widowControl/>
        <w:numPr>
          <w:ilvl w:val="0"/>
          <w:numId w:val="1"/>
        </w:numPr>
        <w:spacing w:line="360" w:lineRule="auto"/>
        <w:jc w:val="both"/>
        <w:rPr>
          <w:rFonts w:cs="Arial"/>
          <w:szCs w:val="22"/>
        </w:rPr>
      </w:pPr>
      <w:r w:rsidRPr="005273FE">
        <w:rPr>
          <w:rFonts w:cs="Arial"/>
          <w:szCs w:val="22"/>
        </w:rPr>
        <w:t xml:space="preserve">However, an auction of only 10 MHz of spectrum would be highly inefficient as a standalone process.  </w:t>
      </w:r>
      <w:r w:rsidR="00057606">
        <w:rPr>
          <w:rFonts w:cs="Arial"/>
          <w:szCs w:val="22"/>
        </w:rPr>
        <w:t>It</w:t>
      </w:r>
      <w:r w:rsidRPr="005273FE">
        <w:rPr>
          <w:rFonts w:cs="Arial"/>
          <w:szCs w:val="22"/>
        </w:rPr>
        <w:t xml:space="preserve"> is impractical to hold an auction for just the 10 MHz of guard band spectrum in isolation.  We recommend that the 10 MHz guard band spectrum be included with the 2690-2900 MHz spectrum band and that a single auction for this combined spectrum be held prior to the first transition in 2033.  </w:t>
      </w:r>
      <w:r w:rsidR="0031745F" w:rsidRPr="00EE5B93">
        <w:rPr>
          <w:rFonts w:cs="Arial"/>
          <w:szCs w:val="22"/>
        </w:rPr>
        <w:t>In accordance with Enabling Guideline (h) of the SPFC,</w:t>
      </w:r>
      <w:r w:rsidR="0031745F">
        <w:rPr>
          <w:rStyle w:val="FootnoteReference"/>
          <w:rFonts w:cs="Arial"/>
          <w:szCs w:val="22"/>
        </w:rPr>
        <w:footnoteReference w:id="61"/>
      </w:r>
      <w:r w:rsidR="0031745F" w:rsidRPr="00EE5B93">
        <w:rPr>
          <w:rFonts w:cs="Arial"/>
          <w:szCs w:val="22"/>
        </w:rPr>
        <w:t xml:space="preserve"> which </w:t>
      </w:r>
      <w:r w:rsidR="0031745F" w:rsidRPr="00EE5B93">
        <w:rPr>
          <w:rFonts w:cs="Arial"/>
          <w:szCs w:val="22"/>
        </w:rPr>
        <w:lastRenderedPageBreak/>
        <w:t>directs ISED to make spectrum available for use in a timely fashion, we recommend that ISED prioritize the release of the 2690-2900 MHz band through an auction that includes the 10 MHz guard band spectrum, followed by a single, unified assignment round across the entire 2500-2900 MHz spectrum band.</w:t>
      </w:r>
      <w:r w:rsidR="0031745F">
        <w:rPr>
          <w:rFonts w:cs="Arial"/>
          <w:szCs w:val="22"/>
        </w:rPr>
        <w:t xml:space="preserve">  This approach would </w:t>
      </w:r>
      <w:r w:rsidR="00B13B20">
        <w:rPr>
          <w:rFonts w:cs="Arial"/>
          <w:szCs w:val="22"/>
        </w:rPr>
        <w:t>position Canada at the forefront of 6G spectrum readiness while ensuring that the transition to the new 2500 MHz band plan proceeds efficiently and without necessary delays.</w:t>
      </w:r>
    </w:p>
    <w:p w14:paraId="177F3FC4" w14:textId="77777777" w:rsidR="00137990" w:rsidRPr="005273FE" w:rsidRDefault="00137990" w:rsidP="00D6774C">
      <w:pPr>
        <w:widowControl/>
        <w:spacing w:line="360" w:lineRule="auto"/>
        <w:jc w:val="both"/>
        <w:rPr>
          <w:rFonts w:cs="Arial"/>
          <w:szCs w:val="22"/>
        </w:rPr>
      </w:pPr>
    </w:p>
    <w:p w14:paraId="4E4EDDE4" w14:textId="3D621EFC" w:rsidR="00D674B2" w:rsidRPr="00137990" w:rsidRDefault="00AA324E" w:rsidP="00D6774C">
      <w:pPr>
        <w:spacing w:line="360" w:lineRule="auto"/>
        <w:jc w:val="center"/>
        <w:rPr>
          <w:rFonts w:cs="Arial"/>
          <w:bCs/>
          <w:szCs w:val="22"/>
        </w:rPr>
      </w:pPr>
      <w:r>
        <w:rPr>
          <w:rFonts w:cs="Arial"/>
          <w:bCs/>
          <w:szCs w:val="22"/>
        </w:rPr>
        <w:t>*** End of Document ***</w:t>
      </w:r>
    </w:p>
    <w:sectPr w:rsidR="00D674B2" w:rsidRPr="00137990" w:rsidSect="0068792D">
      <w:headerReference w:type="even" r:id="rId9"/>
      <w:headerReference w:type="default" r:id="rId10"/>
      <w:footerReference w:type="even" r:id="rId11"/>
      <w:footerReference w:type="default" r:id="rId12"/>
      <w:headerReference w:type="first" r:id="rId13"/>
      <w:footerReference w:type="first" r:id="rId14"/>
      <w:pgSz w:w="12240" w:h="15840" w:code="1"/>
      <w:pgMar w:top="108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E9329" w14:textId="77777777" w:rsidR="00943616" w:rsidRDefault="00943616">
      <w:r>
        <w:separator/>
      </w:r>
    </w:p>
  </w:endnote>
  <w:endnote w:type="continuationSeparator" w:id="0">
    <w:p w14:paraId="08637B30" w14:textId="77777777" w:rsidR="00943616" w:rsidRDefault="0094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1D87" w14:textId="77777777" w:rsidR="00D859C2" w:rsidRDefault="00D85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C530" w14:textId="77777777" w:rsidR="00D859C2" w:rsidRDefault="00D859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0036" w14:textId="77777777" w:rsidR="00D859C2" w:rsidRDefault="00D85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A12F" w14:textId="77777777" w:rsidR="00943616" w:rsidRDefault="00943616">
      <w:r>
        <w:separator/>
      </w:r>
    </w:p>
  </w:footnote>
  <w:footnote w:type="continuationSeparator" w:id="0">
    <w:p w14:paraId="135876C2" w14:textId="77777777" w:rsidR="00943616" w:rsidRDefault="00943616">
      <w:r>
        <w:continuationSeparator/>
      </w:r>
    </w:p>
  </w:footnote>
  <w:footnote w:id="1">
    <w:p w14:paraId="3688CC1F" w14:textId="0B699C6A" w:rsidR="00AA3377" w:rsidRPr="002A0893" w:rsidRDefault="00AA33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Telus </w:t>
      </w:r>
      <w:r w:rsidR="0025718C" w:rsidRPr="002A0893">
        <w:rPr>
          <w:rFonts w:cs="Arial"/>
          <w:szCs w:val="18"/>
          <w:lang w:val="fr-FR"/>
        </w:rPr>
        <w:t>Comments</w:t>
      </w:r>
      <w:r w:rsidRPr="002A0893">
        <w:rPr>
          <w:rFonts w:cs="Arial"/>
          <w:szCs w:val="18"/>
          <w:lang w:val="fr-FR"/>
        </w:rPr>
        <w:t>, paragraph 26</w:t>
      </w:r>
      <w:r w:rsidR="00A849C2" w:rsidRPr="002A0893">
        <w:rPr>
          <w:rFonts w:cs="Arial"/>
          <w:szCs w:val="18"/>
          <w:lang w:val="fr-FR"/>
        </w:rPr>
        <w:t xml:space="preserve">; </w:t>
      </w:r>
      <w:r w:rsidRPr="002A0893">
        <w:rPr>
          <w:rFonts w:cs="Arial"/>
          <w:szCs w:val="18"/>
          <w:lang w:val="fr-FR"/>
        </w:rPr>
        <w:t xml:space="preserve">Rogers </w:t>
      </w:r>
      <w:r w:rsidR="0025718C" w:rsidRPr="002A0893">
        <w:rPr>
          <w:rFonts w:cs="Arial"/>
          <w:szCs w:val="18"/>
          <w:lang w:val="fr-FR"/>
        </w:rPr>
        <w:t>Comments</w:t>
      </w:r>
      <w:r w:rsidRPr="002A0893">
        <w:rPr>
          <w:rFonts w:cs="Arial"/>
          <w:szCs w:val="18"/>
          <w:lang w:val="fr-FR"/>
        </w:rPr>
        <w:t>, paragraph 33</w:t>
      </w:r>
      <w:r w:rsidR="00A849C2" w:rsidRPr="002A0893">
        <w:rPr>
          <w:rFonts w:cs="Arial"/>
          <w:szCs w:val="18"/>
          <w:lang w:val="fr-FR"/>
        </w:rPr>
        <w:t xml:space="preserve">; </w:t>
      </w:r>
      <w:r w:rsidRPr="002A0893">
        <w:rPr>
          <w:rFonts w:cs="Arial"/>
          <w:szCs w:val="18"/>
          <w:lang w:val="fr-FR"/>
        </w:rPr>
        <w:t>Sask</w:t>
      </w:r>
      <w:r w:rsidR="0025718C" w:rsidRPr="002A0893">
        <w:rPr>
          <w:rFonts w:cs="Arial"/>
          <w:szCs w:val="18"/>
          <w:lang w:val="fr-FR"/>
        </w:rPr>
        <w:t>t</w:t>
      </w:r>
      <w:r w:rsidRPr="002A0893">
        <w:rPr>
          <w:rFonts w:cs="Arial"/>
          <w:szCs w:val="18"/>
          <w:lang w:val="fr-FR"/>
        </w:rPr>
        <w:t xml:space="preserve">el </w:t>
      </w:r>
      <w:r w:rsidR="0025718C" w:rsidRPr="002A0893">
        <w:rPr>
          <w:rFonts w:cs="Arial"/>
          <w:szCs w:val="18"/>
          <w:lang w:val="fr-FR"/>
        </w:rPr>
        <w:t>Comments</w:t>
      </w:r>
      <w:r w:rsidRPr="002A0893">
        <w:rPr>
          <w:rFonts w:cs="Arial"/>
          <w:szCs w:val="18"/>
          <w:lang w:val="fr-FR"/>
        </w:rPr>
        <w:t>, paragraph 14</w:t>
      </w:r>
      <w:r w:rsidR="00A849C2" w:rsidRPr="002A0893">
        <w:rPr>
          <w:rFonts w:cs="Arial"/>
          <w:szCs w:val="18"/>
          <w:lang w:val="fr-FR"/>
        </w:rPr>
        <w:t xml:space="preserve">; </w:t>
      </w:r>
      <w:r w:rsidRPr="002A0893">
        <w:rPr>
          <w:rFonts w:cs="Arial"/>
          <w:szCs w:val="18"/>
          <w:lang w:val="fr-FR"/>
        </w:rPr>
        <w:t xml:space="preserve">Cogeco </w:t>
      </w:r>
      <w:r w:rsidR="0025718C" w:rsidRPr="002A0893">
        <w:rPr>
          <w:rFonts w:cs="Arial"/>
          <w:szCs w:val="18"/>
          <w:lang w:val="fr-FR"/>
        </w:rPr>
        <w:t>Comments</w:t>
      </w:r>
      <w:r w:rsidRPr="002A0893">
        <w:rPr>
          <w:rFonts w:cs="Arial"/>
          <w:szCs w:val="18"/>
          <w:lang w:val="fr-FR"/>
        </w:rPr>
        <w:t>, page 4</w:t>
      </w:r>
      <w:r w:rsidR="00A849C2" w:rsidRPr="002A0893">
        <w:rPr>
          <w:rFonts w:cs="Arial"/>
          <w:szCs w:val="18"/>
          <w:lang w:val="fr-FR"/>
        </w:rPr>
        <w:t xml:space="preserve">; </w:t>
      </w:r>
      <w:r w:rsidRPr="002A0893">
        <w:rPr>
          <w:rFonts w:cs="Arial"/>
          <w:szCs w:val="18"/>
          <w:lang w:val="fr-FR"/>
        </w:rPr>
        <w:t xml:space="preserve">GSMA </w:t>
      </w:r>
      <w:r w:rsidR="0025718C" w:rsidRPr="002A0893">
        <w:rPr>
          <w:rFonts w:cs="Arial"/>
          <w:szCs w:val="18"/>
          <w:lang w:val="fr-FR"/>
        </w:rPr>
        <w:t>Comments</w:t>
      </w:r>
      <w:r w:rsidRPr="002A0893">
        <w:rPr>
          <w:rFonts w:cs="Arial"/>
          <w:szCs w:val="18"/>
          <w:lang w:val="fr-FR"/>
        </w:rPr>
        <w:t>, page 2</w:t>
      </w:r>
      <w:r w:rsidR="00E85892" w:rsidRPr="002A0893">
        <w:rPr>
          <w:rFonts w:cs="Arial"/>
          <w:szCs w:val="18"/>
          <w:lang w:val="fr-FR"/>
        </w:rPr>
        <w:t xml:space="preserve">; Ecotel </w:t>
      </w:r>
      <w:r w:rsidR="0025718C" w:rsidRPr="002A0893">
        <w:rPr>
          <w:rFonts w:cs="Arial"/>
          <w:szCs w:val="18"/>
          <w:lang w:val="fr-FR"/>
        </w:rPr>
        <w:t>Comments</w:t>
      </w:r>
      <w:r w:rsidRPr="002A0893">
        <w:rPr>
          <w:rFonts w:cs="Arial"/>
          <w:szCs w:val="18"/>
          <w:lang w:val="fr-FR"/>
        </w:rPr>
        <w:t>, paragraph 13</w:t>
      </w:r>
      <w:r w:rsidR="00E85892" w:rsidRPr="002A0893">
        <w:rPr>
          <w:rFonts w:cs="Arial"/>
          <w:szCs w:val="18"/>
          <w:lang w:val="fr-FR"/>
        </w:rPr>
        <w:t xml:space="preserve">; </w:t>
      </w:r>
      <w:r w:rsidRPr="002A0893">
        <w:rPr>
          <w:rFonts w:cs="Arial"/>
          <w:szCs w:val="18"/>
          <w:lang w:val="fr-FR"/>
        </w:rPr>
        <w:t xml:space="preserve">Xplore </w:t>
      </w:r>
      <w:r w:rsidR="0025718C" w:rsidRPr="002A0893">
        <w:rPr>
          <w:rFonts w:cs="Arial"/>
          <w:szCs w:val="18"/>
          <w:lang w:val="fr-FR"/>
        </w:rPr>
        <w:t>Comments</w:t>
      </w:r>
      <w:r w:rsidRPr="002A0893">
        <w:rPr>
          <w:rFonts w:cs="Arial"/>
          <w:szCs w:val="18"/>
          <w:lang w:val="fr-FR"/>
        </w:rPr>
        <w:t>, paragraph</w:t>
      </w:r>
      <w:r w:rsidR="00E85892" w:rsidRPr="002A0893">
        <w:rPr>
          <w:rFonts w:cs="Arial"/>
          <w:szCs w:val="18"/>
          <w:lang w:val="fr-FR"/>
        </w:rPr>
        <w:t> </w:t>
      </w:r>
      <w:r w:rsidRPr="002A0893">
        <w:rPr>
          <w:rFonts w:cs="Arial"/>
          <w:szCs w:val="18"/>
          <w:lang w:val="fr-FR"/>
        </w:rPr>
        <w:t>18</w:t>
      </w:r>
      <w:r w:rsidR="00E85892" w:rsidRPr="002A0893">
        <w:rPr>
          <w:rFonts w:cs="Arial"/>
          <w:szCs w:val="18"/>
          <w:lang w:val="fr-FR"/>
        </w:rPr>
        <w:t xml:space="preserve">; </w:t>
      </w:r>
      <w:r w:rsidRPr="002A0893">
        <w:rPr>
          <w:rFonts w:cs="Arial"/>
          <w:szCs w:val="18"/>
          <w:lang w:val="fr-FR"/>
        </w:rPr>
        <w:t>and Qu</w:t>
      </w:r>
      <w:r w:rsidR="00C05D2F" w:rsidRPr="002A0893">
        <w:rPr>
          <w:rFonts w:cs="Arial"/>
          <w:szCs w:val="18"/>
          <w:lang w:val="fr-FR"/>
        </w:rPr>
        <w:t>e</w:t>
      </w:r>
      <w:r w:rsidRPr="002A0893">
        <w:rPr>
          <w:rFonts w:cs="Arial"/>
          <w:szCs w:val="18"/>
          <w:lang w:val="fr-FR"/>
        </w:rPr>
        <w:t>b</w:t>
      </w:r>
      <w:r w:rsidR="00C05D2F" w:rsidRPr="002A0893">
        <w:rPr>
          <w:rFonts w:cs="Arial"/>
          <w:szCs w:val="18"/>
          <w:lang w:val="fr-FR"/>
        </w:rPr>
        <w:t>e</w:t>
      </w:r>
      <w:r w:rsidRPr="002A0893">
        <w:rPr>
          <w:rFonts w:cs="Arial"/>
          <w:szCs w:val="18"/>
          <w:lang w:val="fr-FR"/>
        </w:rPr>
        <w:t xml:space="preserve">cor </w:t>
      </w:r>
      <w:r w:rsidR="0025718C" w:rsidRPr="002A0893">
        <w:rPr>
          <w:rFonts w:cs="Arial"/>
          <w:szCs w:val="18"/>
          <w:lang w:val="fr-FR"/>
        </w:rPr>
        <w:t>Comments</w:t>
      </w:r>
      <w:r w:rsidR="00E85892" w:rsidRPr="002A0893">
        <w:rPr>
          <w:rFonts w:cs="Arial"/>
          <w:szCs w:val="18"/>
          <w:lang w:val="fr-FR"/>
        </w:rPr>
        <w:t>,</w:t>
      </w:r>
      <w:r w:rsidRPr="002A0893">
        <w:rPr>
          <w:rFonts w:cs="Arial"/>
          <w:szCs w:val="18"/>
          <w:lang w:val="fr-FR"/>
        </w:rPr>
        <w:t xml:space="preserve"> paragraph 4.</w:t>
      </w:r>
    </w:p>
  </w:footnote>
  <w:footnote w:id="2">
    <w:p w14:paraId="6AD13F97" w14:textId="5C06F39A" w:rsidR="00AA3377" w:rsidRPr="002A0893" w:rsidRDefault="00AA33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46</w:t>
      </w:r>
      <w:r w:rsidR="00E85892" w:rsidRPr="002A0893">
        <w:rPr>
          <w:rFonts w:cs="Arial"/>
          <w:szCs w:val="18"/>
          <w:lang w:val="fr-FR"/>
        </w:rPr>
        <w:t xml:space="preserve">; Telus </w:t>
      </w:r>
      <w:r w:rsidR="0025718C" w:rsidRPr="002A0893">
        <w:rPr>
          <w:rFonts w:cs="Arial"/>
          <w:szCs w:val="18"/>
          <w:lang w:val="fr-FR"/>
        </w:rPr>
        <w:t>Comments</w:t>
      </w:r>
      <w:r w:rsidRPr="002A0893">
        <w:rPr>
          <w:rFonts w:cs="Arial"/>
          <w:szCs w:val="18"/>
          <w:lang w:val="fr-FR"/>
        </w:rPr>
        <w:t>, paragraph 37</w:t>
      </w:r>
      <w:r w:rsidR="00E85892" w:rsidRPr="002A0893">
        <w:rPr>
          <w:rFonts w:cs="Arial"/>
          <w:szCs w:val="18"/>
          <w:lang w:val="fr-FR"/>
        </w:rPr>
        <w:t xml:space="preserve">; </w:t>
      </w:r>
      <w:r w:rsidRPr="002A0893">
        <w:rPr>
          <w:rFonts w:cs="Arial"/>
          <w:szCs w:val="18"/>
          <w:lang w:val="fr-FR"/>
        </w:rPr>
        <w:t xml:space="preserve">Sasktel </w:t>
      </w:r>
      <w:r w:rsidR="0025718C" w:rsidRPr="002A0893">
        <w:rPr>
          <w:rFonts w:cs="Arial"/>
          <w:szCs w:val="18"/>
          <w:lang w:val="fr-FR"/>
        </w:rPr>
        <w:t>Comments</w:t>
      </w:r>
      <w:r w:rsidRPr="002A0893">
        <w:rPr>
          <w:rFonts w:cs="Arial"/>
          <w:szCs w:val="18"/>
          <w:lang w:val="fr-FR"/>
        </w:rPr>
        <w:t>, paragraph 17</w:t>
      </w:r>
      <w:r w:rsidR="00E85892" w:rsidRPr="002A0893">
        <w:rPr>
          <w:rFonts w:cs="Arial"/>
          <w:szCs w:val="18"/>
          <w:lang w:val="fr-FR"/>
        </w:rPr>
        <w:t>;</w:t>
      </w:r>
      <w:r w:rsidRPr="002A0893">
        <w:rPr>
          <w:rFonts w:cs="Arial"/>
          <w:szCs w:val="18"/>
          <w:lang w:val="fr-FR"/>
        </w:rPr>
        <w:t xml:space="preserve"> and </w:t>
      </w:r>
      <w:r w:rsidR="00C05D2F" w:rsidRPr="002A0893">
        <w:rPr>
          <w:rFonts w:cs="Arial"/>
          <w:szCs w:val="18"/>
          <w:lang w:val="fr-FR"/>
        </w:rPr>
        <w:t>Quebecor</w:t>
      </w:r>
      <w:r w:rsidR="00C05D2F" w:rsidRPr="002A0893" w:rsidDel="00C05D2F">
        <w:rPr>
          <w:rFonts w:cs="Arial"/>
          <w:szCs w:val="18"/>
          <w:lang w:val="fr-FR"/>
        </w:rPr>
        <w:t xml:space="preserve"> </w:t>
      </w:r>
      <w:r w:rsidR="0025718C" w:rsidRPr="002A0893">
        <w:rPr>
          <w:rFonts w:cs="Arial"/>
          <w:szCs w:val="18"/>
          <w:lang w:val="fr-FR"/>
        </w:rPr>
        <w:t>Comments</w:t>
      </w:r>
      <w:r w:rsidRPr="002A0893">
        <w:rPr>
          <w:rFonts w:cs="Arial"/>
          <w:szCs w:val="18"/>
          <w:lang w:val="fr-FR"/>
        </w:rPr>
        <w:t>, paragraph 7.</w:t>
      </w:r>
    </w:p>
  </w:footnote>
  <w:footnote w:id="3">
    <w:p w14:paraId="7881846E" w14:textId="66856F7A" w:rsidR="00AA3377" w:rsidRPr="002A0893" w:rsidRDefault="00AA33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r>
      <w:r w:rsidR="00E85892" w:rsidRPr="002A0893">
        <w:rPr>
          <w:rFonts w:cs="Arial"/>
          <w:szCs w:val="18"/>
          <w:lang w:val="fr-FR"/>
        </w:rPr>
        <w:t xml:space="preserve">Telus </w:t>
      </w:r>
      <w:r w:rsidR="0025718C" w:rsidRPr="002A0893">
        <w:rPr>
          <w:rFonts w:cs="Arial"/>
          <w:szCs w:val="18"/>
          <w:lang w:val="fr-FR"/>
        </w:rPr>
        <w:t>Comments</w:t>
      </w:r>
      <w:r w:rsidRPr="002A0893">
        <w:rPr>
          <w:rFonts w:cs="Arial"/>
          <w:szCs w:val="18"/>
          <w:lang w:val="fr-FR"/>
        </w:rPr>
        <w:t>, paragraph 47</w:t>
      </w:r>
      <w:r w:rsidR="00E85892" w:rsidRPr="002A0893">
        <w:rPr>
          <w:rFonts w:cs="Arial"/>
          <w:szCs w:val="18"/>
          <w:lang w:val="fr-FR"/>
        </w:rPr>
        <w:t>;</w:t>
      </w:r>
      <w:r w:rsidRPr="002A0893">
        <w:rPr>
          <w:rFonts w:cs="Arial"/>
          <w:szCs w:val="18"/>
          <w:lang w:val="fr-FR"/>
        </w:rPr>
        <w:t xml:space="preserve"> Cogeco </w:t>
      </w:r>
      <w:r w:rsidR="0025718C" w:rsidRPr="002A0893">
        <w:rPr>
          <w:rFonts w:cs="Arial"/>
          <w:szCs w:val="18"/>
          <w:lang w:val="fr-FR"/>
        </w:rPr>
        <w:t>Comments</w:t>
      </w:r>
      <w:r w:rsidRPr="002A0893">
        <w:rPr>
          <w:rFonts w:cs="Arial"/>
          <w:szCs w:val="18"/>
          <w:lang w:val="fr-FR"/>
        </w:rPr>
        <w:t>, page 7</w:t>
      </w:r>
      <w:r w:rsidR="00792127" w:rsidRPr="002A0893">
        <w:rPr>
          <w:rFonts w:cs="Arial"/>
          <w:szCs w:val="18"/>
          <w:lang w:val="fr-FR"/>
        </w:rPr>
        <w:t xml:space="preserve">; </w:t>
      </w:r>
      <w:r w:rsidRPr="002A0893">
        <w:rPr>
          <w:rFonts w:cs="Arial"/>
          <w:szCs w:val="18"/>
          <w:lang w:val="fr-FR"/>
        </w:rPr>
        <w:t xml:space="preserve">Sasktel </w:t>
      </w:r>
      <w:r w:rsidR="0025718C" w:rsidRPr="002A0893">
        <w:rPr>
          <w:rFonts w:cs="Arial"/>
          <w:szCs w:val="18"/>
          <w:lang w:val="fr-FR"/>
        </w:rPr>
        <w:t>Comments</w:t>
      </w:r>
      <w:r w:rsidRPr="002A0893">
        <w:rPr>
          <w:rFonts w:cs="Arial"/>
          <w:szCs w:val="18"/>
          <w:lang w:val="fr-FR"/>
        </w:rPr>
        <w:t>, paragraph 19</w:t>
      </w:r>
      <w:r w:rsidR="00792127" w:rsidRPr="002A0893">
        <w:rPr>
          <w:rFonts w:cs="Arial"/>
          <w:szCs w:val="18"/>
          <w:lang w:val="fr-FR"/>
        </w:rPr>
        <w:t xml:space="preserve">; </w:t>
      </w:r>
      <w:r w:rsidRPr="002A0893">
        <w:rPr>
          <w:rFonts w:cs="Arial"/>
          <w:szCs w:val="18"/>
          <w:lang w:val="fr-FR"/>
        </w:rPr>
        <w:t xml:space="preserve">Ecotel </w:t>
      </w:r>
      <w:r w:rsidR="0025718C" w:rsidRPr="002A0893">
        <w:rPr>
          <w:rFonts w:cs="Arial"/>
          <w:szCs w:val="18"/>
          <w:lang w:val="fr-FR"/>
        </w:rPr>
        <w:t>Comments</w:t>
      </w:r>
      <w:r w:rsidRPr="002A0893">
        <w:rPr>
          <w:rFonts w:cs="Arial"/>
          <w:szCs w:val="18"/>
          <w:lang w:val="fr-FR"/>
        </w:rPr>
        <w:t>, paragraph 18</w:t>
      </w:r>
      <w:r w:rsidR="00792127" w:rsidRPr="002A0893">
        <w:rPr>
          <w:rFonts w:cs="Arial"/>
          <w:szCs w:val="18"/>
          <w:lang w:val="fr-FR"/>
        </w:rPr>
        <w:t>;</w:t>
      </w:r>
      <w:r w:rsidRPr="002A0893">
        <w:rPr>
          <w:rFonts w:cs="Arial"/>
          <w:szCs w:val="18"/>
          <w:lang w:val="fr-FR"/>
        </w:rPr>
        <w:t xml:space="preserve"> and </w:t>
      </w:r>
      <w:r w:rsidR="00C05D2F" w:rsidRPr="002A0893">
        <w:rPr>
          <w:rFonts w:cs="Arial"/>
          <w:szCs w:val="18"/>
          <w:lang w:val="fr-FR"/>
        </w:rPr>
        <w:t>Quebecor</w:t>
      </w:r>
      <w:r w:rsidRPr="002A0893">
        <w:rPr>
          <w:rFonts w:cs="Arial"/>
          <w:szCs w:val="18"/>
          <w:lang w:val="fr-FR"/>
        </w:rPr>
        <w:t xml:space="preserve"> </w:t>
      </w:r>
      <w:r w:rsidR="0025718C" w:rsidRPr="002A0893">
        <w:rPr>
          <w:rFonts w:cs="Arial"/>
          <w:szCs w:val="18"/>
          <w:lang w:val="fr-FR"/>
        </w:rPr>
        <w:t>Comments</w:t>
      </w:r>
      <w:r w:rsidRPr="002A0893">
        <w:rPr>
          <w:rFonts w:cs="Arial"/>
          <w:szCs w:val="18"/>
          <w:lang w:val="fr-FR"/>
        </w:rPr>
        <w:t>, paragraph 8.</w:t>
      </w:r>
    </w:p>
  </w:footnote>
  <w:footnote w:id="4">
    <w:p w14:paraId="1BC2647A" w14:textId="6A0DF612" w:rsidR="00AA3377" w:rsidRPr="002A0893" w:rsidRDefault="00AA33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15</w:t>
      </w:r>
      <w:r w:rsidR="00792127" w:rsidRPr="002A0893">
        <w:rPr>
          <w:rFonts w:cs="Arial"/>
          <w:szCs w:val="18"/>
          <w:lang w:val="fr-FR"/>
        </w:rPr>
        <w:t xml:space="preserve">; </w:t>
      </w:r>
      <w:r w:rsidRPr="002A0893">
        <w:rPr>
          <w:rFonts w:cs="Arial"/>
          <w:szCs w:val="18"/>
          <w:lang w:val="fr-FR"/>
        </w:rPr>
        <w:t xml:space="preserve">Eastlink </w:t>
      </w:r>
      <w:r w:rsidR="0025718C" w:rsidRPr="002A0893">
        <w:rPr>
          <w:rFonts w:cs="Arial"/>
          <w:szCs w:val="18"/>
          <w:lang w:val="fr-FR"/>
        </w:rPr>
        <w:t>Comments</w:t>
      </w:r>
      <w:r w:rsidRPr="002A0893">
        <w:rPr>
          <w:rFonts w:cs="Arial"/>
          <w:szCs w:val="18"/>
          <w:lang w:val="fr-FR"/>
        </w:rPr>
        <w:t>, paragraph 18</w:t>
      </w:r>
      <w:r w:rsidR="00792127" w:rsidRPr="002A0893">
        <w:rPr>
          <w:rFonts w:cs="Arial"/>
          <w:szCs w:val="18"/>
          <w:lang w:val="fr-FR"/>
        </w:rPr>
        <w:t xml:space="preserve">; </w:t>
      </w:r>
      <w:r w:rsidRPr="002A0893">
        <w:rPr>
          <w:rFonts w:cs="Arial"/>
          <w:szCs w:val="18"/>
          <w:lang w:val="fr-FR"/>
        </w:rPr>
        <w:t xml:space="preserve">Sasktel </w:t>
      </w:r>
      <w:r w:rsidR="0025718C" w:rsidRPr="002A0893">
        <w:rPr>
          <w:rFonts w:cs="Arial"/>
          <w:szCs w:val="18"/>
          <w:lang w:val="fr-FR"/>
        </w:rPr>
        <w:t>Comments</w:t>
      </w:r>
      <w:r w:rsidRPr="002A0893">
        <w:rPr>
          <w:rFonts w:cs="Arial"/>
          <w:szCs w:val="18"/>
          <w:lang w:val="fr-FR"/>
        </w:rPr>
        <w:t>, paragraph 9</w:t>
      </w:r>
      <w:r w:rsidR="00792127" w:rsidRPr="002A0893">
        <w:rPr>
          <w:rFonts w:cs="Arial"/>
          <w:szCs w:val="18"/>
          <w:lang w:val="fr-FR"/>
        </w:rPr>
        <w:t>;</w:t>
      </w:r>
      <w:r w:rsidRPr="002A0893">
        <w:rPr>
          <w:rFonts w:cs="Arial"/>
          <w:szCs w:val="18"/>
          <w:lang w:val="fr-FR"/>
        </w:rPr>
        <w:t xml:space="preserve"> and Ecotel </w:t>
      </w:r>
      <w:r w:rsidR="0025718C" w:rsidRPr="002A0893">
        <w:rPr>
          <w:rFonts w:cs="Arial"/>
          <w:szCs w:val="18"/>
          <w:lang w:val="fr-FR"/>
        </w:rPr>
        <w:t>Comments</w:t>
      </w:r>
      <w:r w:rsidRPr="002A0893">
        <w:rPr>
          <w:rFonts w:cs="Arial"/>
          <w:szCs w:val="18"/>
          <w:lang w:val="fr-FR"/>
        </w:rPr>
        <w:t>, paragraph 26.</w:t>
      </w:r>
    </w:p>
  </w:footnote>
  <w:footnote w:id="5">
    <w:p w14:paraId="0B95612F" w14:textId="0AE358BE" w:rsidR="00AA3377" w:rsidRPr="002A0893" w:rsidRDefault="00AA33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GSMA </w:t>
      </w:r>
      <w:r w:rsidR="0025718C" w:rsidRPr="002A0893">
        <w:rPr>
          <w:rFonts w:cs="Arial"/>
          <w:szCs w:val="18"/>
          <w:lang w:val="fr-FR"/>
        </w:rPr>
        <w:t>Comments</w:t>
      </w:r>
      <w:r w:rsidRPr="002A0893">
        <w:rPr>
          <w:rFonts w:cs="Arial"/>
          <w:szCs w:val="18"/>
          <w:lang w:val="fr-FR"/>
        </w:rPr>
        <w:t>, page 2</w:t>
      </w:r>
      <w:r w:rsidR="00792127" w:rsidRPr="002A0893">
        <w:rPr>
          <w:rFonts w:cs="Arial"/>
          <w:szCs w:val="18"/>
          <w:lang w:val="fr-FR"/>
        </w:rPr>
        <w:t xml:space="preserve">; </w:t>
      </w:r>
      <w:r w:rsidRPr="002A0893">
        <w:rPr>
          <w:rFonts w:cs="Arial"/>
          <w:szCs w:val="18"/>
          <w:lang w:val="fr-FR"/>
        </w:rPr>
        <w:t xml:space="preserve">Rogers </w:t>
      </w:r>
      <w:r w:rsidR="0025718C" w:rsidRPr="002A0893">
        <w:rPr>
          <w:rFonts w:cs="Arial"/>
          <w:szCs w:val="18"/>
          <w:lang w:val="fr-FR"/>
        </w:rPr>
        <w:t>Comments</w:t>
      </w:r>
      <w:r w:rsidRPr="002A0893">
        <w:rPr>
          <w:rFonts w:cs="Arial"/>
          <w:szCs w:val="18"/>
          <w:lang w:val="fr-FR"/>
        </w:rPr>
        <w:t>, paragraph 43</w:t>
      </w:r>
      <w:r w:rsidR="00792127" w:rsidRPr="002A0893">
        <w:rPr>
          <w:rFonts w:cs="Arial"/>
          <w:szCs w:val="18"/>
          <w:lang w:val="fr-FR"/>
        </w:rPr>
        <w:t xml:space="preserve">; </w:t>
      </w:r>
      <w:r w:rsidRPr="002A0893">
        <w:rPr>
          <w:rFonts w:cs="Arial"/>
          <w:szCs w:val="18"/>
          <w:lang w:val="fr-FR"/>
        </w:rPr>
        <w:t xml:space="preserve">Cogeco </w:t>
      </w:r>
      <w:r w:rsidR="0025718C" w:rsidRPr="002A0893">
        <w:rPr>
          <w:rFonts w:cs="Arial"/>
          <w:szCs w:val="18"/>
          <w:lang w:val="fr-FR"/>
        </w:rPr>
        <w:t>Comments</w:t>
      </w:r>
      <w:r w:rsidRPr="002A0893">
        <w:rPr>
          <w:rFonts w:cs="Arial"/>
          <w:szCs w:val="18"/>
          <w:lang w:val="fr-FR"/>
        </w:rPr>
        <w:t xml:space="preserve"> page 8</w:t>
      </w:r>
      <w:r w:rsidR="00792127" w:rsidRPr="002A0893">
        <w:rPr>
          <w:rFonts w:cs="Arial"/>
          <w:szCs w:val="18"/>
          <w:lang w:val="fr-FR"/>
        </w:rPr>
        <w:t>;</w:t>
      </w:r>
      <w:r w:rsidRPr="002A0893">
        <w:rPr>
          <w:rFonts w:cs="Arial"/>
          <w:szCs w:val="18"/>
          <w:lang w:val="fr-FR"/>
        </w:rPr>
        <w:t xml:space="preserve"> and </w:t>
      </w:r>
      <w:r w:rsidR="00792127" w:rsidRPr="002A0893">
        <w:rPr>
          <w:rFonts w:cs="Arial"/>
          <w:szCs w:val="18"/>
          <w:lang w:val="fr-FR"/>
        </w:rPr>
        <w:t xml:space="preserve">Telus </w:t>
      </w:r>
      <w:r w:rsidR="0025718C" w:rsidRPr="002A0893">
        <w:rPr>
          <w:rFonts w:cs="Arial"/>
          <w:szCs w:val="18"/>
          <w:lang w:val="fr-FR"/>
        </w:rPr>
        <w:t>Comments</w:t>
      </w:r>
      <w:r w:rsidRPr="002A0893">
        <w:rPr>
          <w:rFonts w:cs="Arial"/>
          <w:szCs w:val="18"/>
          <w:lang w:val="fr-FR"/>
        </w:rPr>
        <w:t>, paragraph 14.</w:t>
      </w:r>
    </w:p>
  </w:footnote>
  <w:footnote w:id="6">
    <w:p w14:paraId="7CBDF8C6" w14:textId="4ED038BB" w:rsidR="00AA3377" w:rsidRPr="00130476" w:rsidRDefault="00AA3377"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Pr="00130476">
        <w:rPr>
          <w:rFonts w:cs="Arial"/>
          <w:szCs w:val="18"/>
        </w:rPr>
        <w:tab/>
      </w:r>
      <w:r w:rsidR="00792127" w:rsidRPr="00130476">
        <w:rPr>
          <w:rFonts w:cs="Arial"/>
          <w:szCs w:val="18"/>
        </w:rPr>
        <w:t xml:space="preserve">Telus </w:t>
      </w:r>
      <w:r w:rsidR="0025718C" w:rsidRPr="00130476">
        <w:rPr>
          <w:rFonts w:cs="Arial"/>
          <w:szCs w:val="18"/>
        </w:rPr>
        <w:t>Comments</w:t>
      </w:r>
      <w:r w:rsidRPr="00130476">
        <w:rPr>
          <w:rFonts w:cs="Arial"/>
          <w:szCs w:val="18"/>
        </w:rPr>
        <w:t>, paragraph 67</w:t>
      </w:r>
      <w:r w:rsidR="00792127" w:rsidRPr="00130476">
        <w:rPr>
          <w:rFonts w:cs="Arial"/>
          <w:szCs w:val="18"/>
        </w:rPr>
        <w:t>;</w:t>
      </w:r>
      <w:r w:rsidRPr="00130476">
        <w:rPr>
          <w:rFonts w:cs="Arial"/>
          <w:szCs w:val="18"/>
        </w:rPr>
        <w:t xml:space="preserve"> and Rogers </w:t>
      </w:r>
      <w:r w:rsidR="0025718C" w:rsidRPr="00130476">
        <w:rPr>
          <w:rFonts w:cs="Arial"/>
          <w:szCs w:val="18"/>
        </w:rPr>
        <w:t>Comments</w:t>
      </w:r>
      <w:r w:rsidRPr="00130476">
        <w:rPr>
          <w:rFonts w:cs="Arial"/>
          <w:szCs w:val="18"/>
        </w:rPr>
        <w:t>, paragraphs 21 and 46.</w:t>
      </w:r>
    </w:p>
  </w:footnote>
  <w:footnote w:id="7">
    <w:p w14:paraId="2D2FCE7C" w14:textId="251D3141" w:rsidR="00F36C4A" w:rsidRPr="00130476" w:rsidRDefault="00F36C4A" w:rsidP="00B91DBB">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883981" w:rsidRPr="00130476">
        <w:rPr>
          <w:rFonts w:cs="Arial"/>
          <w:szCs w:val="18"/>
        </w:rPr>
        <w:tab/>
      </w:r>
      <w:r w:rsidRPr="00130476">
        <w:rPr>
          <w:rFonts w:cs="Arial"/>
          <w:i/>
          <w:iCs/>
          <w:szCs w:val="18"/>
        </w:rPr>
        <w:t>One Big Beautiful Bill Act</w:t>
      </w:r>
      <w:r w:rsidRPr="00130476">
        <w:rPr>
          <w:rFonts w:cs="Arial"/>
          <w:szCs w:val="18"/>
        </w:rPr>
        <w:t xml:space="preserve">, </w:t>
      </w:r>
      <w:r w:rsidR="00883981" w:rsidRPr="00130476">
        <w:rPr>
          <w:rFonts w:cs="Arial"/>
          <w:szCs w:val="18"/>
        </w:rPr>
        <w:t xml:space="preserve">BAI25300 V7T,  </w:t>
      </w:r>
      <w:r w:rsidRPr="00130476">
        <w:rPr>
          <w:rFonts w:cs="Arial"/>
          <w:szCs w:val="18"/>
        </w:rPr>
        <w:t>section 40002(f)</w:t>
      </w:r>
      <w:r w:rsidR="00B91DBB" w:rsidRPr="00130476">
        <w:rPr>
          <w:rFonts w:cs="Arial"/>
          <w:szCs w:val="18"/>
        </w:rPr>
        <w:t xml:space="preserve">, </w:t>
      </w:r>
      <w:hyperlink r:id="rId1" w:history="1">
        <w:r w:rsidR="00A849C2" w:rsidRPr="00130476">
          <w:rPr>
            <w:rStyle w:val="Hyperlink"/>
            <w:rFonts w:cs="Arial"/>
            <w:szCs w:val="18"/>
          </w:rPr>
          <w:t>https://www.budget.senate.gov/imo/media/doc/the_one_big_beautiful_bill_act.pdf</w:t>
        </w:r>
      </w:hyperlink>
      <w:r w:rsidR="00B91DBB" w:rsidRPr="00130476">
        <w:rPr>
          <w:rFonts w:cs="Arial"/>
          <w:szCs w:val="18"/>
        </w:rPr>
        <w:t>.</w:t>
      </w:r>
    </w:p>
  </w:footnote>
  <w:footnote w:id="8">
    <w:p w14:paraId="66BC2912" w14:textId="4FAC6B0D" w:rsidR="00E93075" w:rsidRPr="002A0893" w:rsidRDefault="00E9307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Pr="002A0893">
        <w:rPr>
          <w:rFonts w:cs="Arial"/>
          <w:szCs w:val="18"/>
          <w:lang w:val="fr-FR"/>
        </w:rPr>
        <w:t xml:space="preserve">Eastlink </w:t>
      </w:r>
      <w:r w:rsidR="0025718C" w:rsidRPr="002A0893">
        <w:rPr>
          <w:rFonts w:cs="Arial"/>
          <w:szCs w:val="18"/>
          <w:lang w:val="fr-FR"/>
        </w:rPr>
        <w:t>Comments</w:t>
      </w:r>
      <w:r w:rsidRPr="002A0893">
        <w:rPr>
          <w:rFonts w:cs="Arial"/>
          <w:szCs w:val="18"/>
          <w:lang w:val="fr-FR"/>
        </w:rPr>
        <w:t>, paragraph 6.</w:t>
      </w:r>
    </w:p>
  </w:footnote>
  <w:footnote w:id="9">
    <w:p w14:paraId="5B807593" w14:textId="368C9914" w:rsidR="00E93075" w:rsidRPr="002A0893" w:rsidRDefault="00E9307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Pr="002A0893">
        <w:rPr>
          <w:rFonts w:cs="Arial"/>
          <w:szCs w:val="18"/>
          <w:lang w:val="fr-FR"/>
        </w:rPr>
        <w:t xml:space="preserve">Rogers </w:t>
      </w:r>
      <w:r w:rsidR="0025718C" w:rsidRPr="002A0893">
        <w:rPr>
          <w:rFonts w:cs="Arial"/>
          <w:szCs w:val="18"/>
          <w:lang w:val="fr-FR"/>
        </w:rPr>
        <w:t>Comments</w:t>
      </w:r>
      <w:r w:rsidRPr="002A0893">
        <w:rPr>
          <w:rFonts w:cs="Arial"/>
          <w:szCs w:val="18"/>
          <w:lang w:val="fr-FR"/>
        </w:rPr>
        <w:t>, paragraph 33.</w:t>
      </w:r>
    </w:p>
  </w:footnote>
  <w:footnote w:id="10">
    <w:p w14:paraId="2E758481" w14:textId="0494C0FB" w:rsidR="003B7567" w:rsidRPr="002A0893" w:rsidRDefault="003B756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00331127" w:rsidRPr="002A0893">
        <w:rPr>
          <w:rFonts w:cs="Arial"/>
          <w:szCs w:val="18"/>
          <w:lang w:val="fr-FR"/>
        </w:rPr>
        <w:t>Ibid.</w:t>
      </w:r>
    </w:p>
  </w:footnote>
  <w:footnote w:id="11">
    <w:p w14:paraId="7DC7CA47" w14:textId="3AE66C8D" w:rsidR="003B7567" w:rsidRPr="002A0893" w:rsidRDefault="003B756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Pr="002A0893">
        <w:rPr>
          <w:rFonts w:cs="Arial"/>
          <w:szCs w:val="18"/>
          <w:lang w:val="fr-FR"/>
        </w:rPr>
        <w:t xml:space="preserve">Telus </w:t>
      </w:r>
      <w:r w:rsidR="0025718C" w:rsidRPr="002A0893">
        <w:rPr>
          <w:rFonts w:cs="Arial"/>
          <w:szCs w:val="18"/>
          <w:lang w:val="fr-FR"/>
        </w:rPr>
        <w:t>Comments</w:t>
      </w:r>
      <w:r w:rsidRPr="002A0893">
        <w:rPr>
          <w:rFonts w:cs="Arial"/>
          <w:szCs w:val="18"/>
          <w:lang w:val="fr-FR"/>
        </w:rPr>
        <w:t>, paragraph 26.</w:t>
      </w:r>
    </w:p>
  </w:footnote>
  <w:footnote w:id="12">
    <w:p w14:paraId="01CE065E" w14:textId="2521770D" w:rsidR="003B7567" w:rsidRPr="002A0893" w:rsidRDefault="003B756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Pr="002A0893">
        <w:rPr>
          <w:rFonts w:cs="Arial"/>
          <w:szCs w:val="18"/>
          <w:lang w:val="fr-FR"/>
        </w:rPr>
        <w:t xml:space="preserve">Sasktel </w:t>
      </w:r>
      <w:r w:rsidR="0025718C" w:rsidRPr="002A0893">
        <w:rPr>
          <w:rFonts w:cs="Arial"/>
          <w:szCs w:val="18"/>
          <w:lang w:val="fr-FR"/>
        </w:rPr>
        <w:t>Comments</w:t>
      </w:r>
      <w:r w:rsidR="00331127" w:rsidRPr="002A0893">
        <w:rPr>
          <w:rFonts w:cs="Arial"/>
          <w:szCs w:val="18"/>
          <w:lang w:val="fr-FR"/>
        </w:rPr>
        <w:t>,</w:t>
      </w:r>
      <w:r w:rsidRPr="002A0893">
        <w:rPr>
          <w:rFonts w:cs="Arial"/>
          <w:szCs w:val="18"/>
          <w:lang w:val="fr-FR"/>
        </w:rPr>
        <w:t xml:space="preserve"> paragraph 14</w:t>
      </w:r>
      <w:r w:rsidR="00331127" w:rsidRPr="002A0893">
        <w:rPr>
          <w:rFonts w:cs="Arial"/>
          <w:szCs w:val="18"/>
          <w:lang w:val="fr-FR"/>
        </w:rPr>
        <w:t>.</w:t>
      </w:r>
    </w:p>
  </w:footnote>
  <w:footnote w:id="13">
    <w:p w14:paraId="2C0628B2" w14:textId="4D53F560" w:rsidR="003B7567" w:rsidRPr="002A0893" w:rsidRDefault="003B756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B91DBB" w:rsidRPr="002A0893">
        <w:rPr>
          <w:rFonts w:cs="Arial"/>
          <w:szCs w:val="18"/>
          <w:lang w:val="fr-FR"/>
        </w:rPr>
        <w:tab/>
      </w:r>
      <w:r w:rsidRPr="002A0893">
        <w:rPr>
          <w:rFonts w:cs="Arial"/>
          <w:szCs w:val="18"/>
          <w:lang w:val="fr-FR"/>
        </w:rPr>
        <w:t xml:space="preserve">Cogeco </w:t>
      </w:r>
      <w:r w:rsidR="00331127" w:rsidRPr="002A0893">
        <w:rPr>
          <w:rFonts w:cs="Arial"/>
          <w:szCs w:val="18"/>
          <w:lang w:val="fr-FR"/>
        </w:rPr>
        <w:t xml:space="preserve">Comments, </w:t>
      </w:r>
      <w:r w:rsidRPr="002A0893">
        <w:rPr>
          <w:rFonts w:cs="Arial"/>
          <w:szCs w:val="18"/>
          <w:lang w:val="fr-FR"/>
        </w:rPr>
        <w:t>page 4</w:t>
      </w:r>
      <w:r w:rsidR="00331127" w:rsidRPr="002A0893">
        <w:rPr>
          <w:rFonts w:cs="Arial"/>
          <w:szCs w:val="18"/>
          <w:lang w:val="fr-FR"/>
        </w:rPr>
        <w:t>.</w:t>
      </w:r>
    </w:p>
  </w:footnote>
  <w:footnote w:id="14">
    <w:p w14:paraId="1B967959" w14:textId="26CBEBF9" w:rsidR="00B30A46" w:rsidRPr="002A0893" w:rsidRDefault="00B30A4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6F5A8F" w:rsidRPr="002A0893">
        <w:rPr>
          <w:rFonts w:cs="Arial"/>
          <w:szCs w:val="18"/>
          <w:lang w:val="fr-FR"/>
        </w:rPr>
        <w:tab/>
      </w:r>
      <w:r w:rsidRPr="002A0893">
        <w:rPr>
          <w:rFonts w:cs="Arial"/>
          <w:szCs w:val="18"/>
          <w:lang w:val="fr-FR"/>
        </w:rPr>
        <w:t>GSMA</w:t>
      </w:r>
      <w:r w:rsidR="006F5A8F" w:rsidRPr="002A0893">
        <w:rPr>
          <w:rFonts w:cs="Arial"/>
          <w:szCs w:val="18"/>
          <w:lang w:val="fr-FR"/>
        </w:rPr>
        <w:t xml:space="preserve"> Comments,</w:t>
      </w:r>
      <w:r w:rsidRPr="002A0893">
        <w:rPr>
          <w:rFonts w:cs="Arial"/>
          <w:szCs w:val="18"/>
          <w:lang w:val="fr-FR"/>
        </w:rPr>
        <w:t xml:space="preserve"> page 1</w:t>
      </w:r>
      <w:r w:rsidR="006F5A8F" w:rsidRPr="002A0893">
        <w:rPr>
          <w:rFonts w:cs="Arial"/>
          <w:szCs w:val="18"/>
          <w:lang w:val="fr-FR"/>
        </w:rPr>
        <w:t>.</w:t>
      </w:r>
    </w:p>
  </w:footnote>
  <w:footnote w:id="15">
    <w:p w14:paraId="41CA3F54" w14:textId="298B4476" w:rsidR="00B30A46" w:rsidRPr="002A0893" w:rsidRDefault="00B30A46" w:rsidP="00C05D2F">
      <w:pPr>
        <w:tabs>
          <w:tab w:val="clear" w:pos="720"/>
        </w:tabs>
        <w:ind w:left="360" w:hanging="360"/>
        <w:jc w:val="both"/>
        <w:rPr>
          <w:rFonts w:cs="Arial"/>
          <w:sz w:val="18"/>
          <w:szCs w:val="18"/>
          <w:lang w:val="fr-FR"/>
        </w:rPr>
      </w:pPr>
      <w:r w:rsidRPr="00130476">
        <w:rPr>
          <w:rStyle w:val="FootnoteReference"/>
          <w:rFonts w:cs="Arial"/>
          <w:sz w:val="18"/>
          <w:szCs w:val="18"/>
        </w:rPr>
        <w:footnoteRef/>
      </w:r>
      <w:r w:rsidRPr="002A0893">
        <w:rPr>
          <w:rFonts w:cs="Arial"/>
          <w:sz w:val="18"/>
          <w:szCs w:val="18"/>
          <w:lang w:val="fr-FR"/>
        </w:rPr>
        <w:t xml:space="preserve"> </w:t>
      </w:r>
      <w:r w:rsidR="006F5A8F" w:rsidRPr="002A0893">
        <w:rPr>
          <w:rFonts w:cs="Arial"/>
          <w:sz w:val="18"/>
          <w:szCs w:val="18"/>
          <w:lang w:val="fr-FR"/>
        </w:rPr>
        <w:tab/>
      </w:r>
      <w:r w:rsidRPr="002A0893">
        <w:rPr>
          <w:rFonts w:cs="Arial"/>
          <w:sz w:val="18"/>
          <w:szCs w:val="18"/>
          <w:lang w:val="fr-FR"/>
        </w:rPr>
        <w:t xml:space="preserve">Nokia </w:t>
      </w:r>
      <w:r w:rsidR="0025718C" w:rsidRPr="002A0893">
        <w:rPr>
          <w:rFonts w:cs="Arial"/>
          <w:sz w:val="18"/>
          <w:szCs w:val="18"/>
          <w:lang w:val="fr-FR"/>
        </w:rPr>
        <w:t>Comments</w:t>
      </w:r>
      <w:r w:rsidRPr="002A0893">
        <w:rPr>
          <w:rFonts w:cs="Arial"/>
          <w:sz w:val="18"/>
          <w:szCs w:val="18"/>
          <w:lang w:val="fr-FR"/>
        </w:rPr>
        <w:t>, pages 1 and 2.</w:t>
      </w:r>
    </w:p>
  </w:footnote>
  <w:footnote w:id="16">
    <w:p w14:paraId="23643D22" w14:textId="2A167B95" w:rsidR="00E93075" w:rsidRPr="002A0893" w:rsidRDefault="00E9307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Cogeco </w:t>
      </w:r>
      <w:r w:rsidR="0025718C" w:rsidRPr="002A0893">
        <w:rPr>
          <w:rFonts w:cs="Arial"/>
          <w:szCs w:val="18"/>
          <w:lang w:val="fr-FR"/>
        </w:rPr>
        <w:t>Comments</w:t>
      </w:r>
      <w:r w:rsidRPr="002A0893">
        <w:rPr>
          <w:rFonts w:cs="Arial"/>
          <w:szCs w:val="18"/>
          <w:lang w:val="fr-FR"/>
        </w:rPr>
        <w:t>, page 4.</w:t>
      </w:r>
    </w:p>
  </w:footnote>
  <w:footnote w:id="17">
    <w:p w14:paraId="578A0EFA" w14:textId="7B154D21"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6F5A8F" w:rsidRPr="00130476">
        <w:rPr>
          <w:rFonts w:cs="Arial"/>
          <w:szCs w:val="18"/>
        </w:rPr>
        <w:tab/>
      </w:r>
      <w:r w:rsidRPr="00130476">
        <w:rPr>
          <w:rFonts w:cs="Arial"/>
          <w:szCs w:val="18"/>
        </w:rPr>
        <w:t xml:space="preserve">Telus </w:t>
      </w:r>
      <w:r w:rsidR="0025718C" w:rsidRPr="00130476">
        <w:rPr>
          <w:rFonts w:cs="Arial"/>
          <w:szCs w:val="18"/>
        </w:rPr>
        <w:t>Comments</w:t>
      </w:r>
      <w:r w:rsidRPr="00130476">
        <w:rPr>
          <w:rFonts w:cs="Arial"/>
          <w:szCs w:val="18"/>
        </w:rPr>
        <w:t>, paragraph 24.</w:t>
      </w:r>
    </w:p>
  </w:footnote>
  <w:footnote w:id="18">
    <w:p w14:paraId="666D6D8D" w14:textId="59BC0FFC"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Pr="00130476">
        <w:rPr>
          <w:rFonts w:cs="Arial"/>
          <w:szCs w:val="18"/>
        </w:rPr>
        <w:tab/>
      </w:r>
      <w:r w:rsidR="0058009A" w:rsidRPr="00130476">
        <w:rPr>
          <w:rFonts w:cs="Arial"/>
          <w:szCs w:val="18"/>
        </w:rPr>
        <w:t xml:space="preserve">ISED, </w:t>
      </w:r>
      <w:r w:rsidR="0058009A" w:rsidRPr="00130476">
        <w:rPr>
          <w:rFonts w:cs="Arial"/>
          <w:i/>
          <w:iCs/>
          <w:szCs w:val="18"/>
        </w:rPr>
        <w:t>SPFC – Spectrum Policy Framework for Canada</w:t>
      </w:r>
      <w:r w:rsidR="0058009A" w:rsidRPr="00130476">
        <w:rPr>
          <w:rFonts w:cs="Arial"/>
          <w:szCs w:val="18"/>
        </w:rPr>
        <w:t>, June 2007, section 4.3 Policy Objective.</w:t>
      </w:r>
      <w:r w:rsidR="007A2A13" w:rsidRPr="00130476">
        <w:rPr>
          <w:rFonts w:cs="Arial"/>
          <w:szCs w:val="18"/>
        </w:rPr>
        <w:t xml:space="preserve">  (SPFC)</w:t>
      </w:r>
    </w:p>
  </w:footnote>
  <w:footnote w:id="19">
    <w:p w14:paraId="0F10A72C" w14:textId="7D67AD8C"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Pr="00130476">
        <w:rPr>
          <w:rFonts w:cs="Arial"/>
          <w:szCs w:val="18"/>
        </w:rPr>
        <w:tab/>
      </w:r>
      <w:r w:rsidR="0058009A" w:rsidRPr="00130476">
        <w:rPr>
          <w:rFonts w:cs="Arial"/>
          <w:szCs w:val="18"/>
        </w:rPr>
        <w:t xml:space="preserve">Ibid., </w:t>
      </w:r>
      <w:r w:rsidRPr="00130476">
        <w:rPr>
          <w:rFonts w:cs="Arial"/>
          <w:szCs w:val="18"/>
        </w:rPr>
        <w:t>, section 4.4</w:t>
      </w:r>
      <w:r w:rsidR="0058009A" w:rsidRPr="00130476">
        <w:rPr>
          <w:rFonts w:cs="Arial"/>
          <w:szCs w:val="18"/>
        </w:rPr>
        <w:t xml:space="preserve"> Enabling Guidelines.</w:t>
      </w:r>
    </w:p>
  </w:footnote>
  <w:footnote w:id="20">
    <w:p w14:paraId="0CE9FA82" w14:textId="08C3231A"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Pr="00130476">
        <w:rPr>
          <w:rFonts w:cs="Arial"/>
          <w:szCs w:val="18"/>
        </w:rPr>
        <w:tab/>
        <w:t xml:space="preserve">Telus </w:t>
      </w:r>
      <w:r w:rsidR="0025718C" w:rsidRPr="00130476">
        <w:rPr>
          <w:rFonts w:cs="Arial"/>
          <w:szCs w:val="18"/>
        </w:rPr>
        <w:t>Comments</w:t>
      </w:r>
      <w:r w:rsidRPr="00130476">
        <w:rPr>
          <w:rFonts w:cs="Arial"/>
          <w:szCs w:val="18"/>
        </w:rPr>
        <w:t>, paragraph 25.</w:t>
      </w:r>
    </w:p>
  </w:footnote>
  <w:footnote w:id="21">
    <w:p w14:paraId="073C178F" w14:textId="0A62B503"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DD3A73" w:rsidRPr="00130476">
        <w:rPr>
          <w:rFonts w:cs="Arial"/>
          <w:szCs w:val="18"/>
        </w:rPr>
        <w:tab/>
      </w:r>
      <w:r w:rsidRPr="00130476">
        <w:rPr>
          <w:rFonts w:cs="Arial"/>
          <w:szCs w:val="18"/>
        </w:rPr>
        <w:t xml:space="preserve">Bell </w:t>
      </w:r>
      <w:r w:rsidR="0025718C" w:rsidRPr="00130476">
        <w:rPr>
          <w:rFonts w:cs="Arial"/>
          <w:szCs w:val="18"/>
        </w:rPr>
        <w:t>Comments</w:t>
      </w:r>
      <w:r w:rsidRPr="00130476">
        <w:rPr>
          <w:rFonts w:cs="Arial"/>
          <w:szCs w:val="18"/>
        </w:rPr>
        <w:t>, paragraph 12.</w:t>
      </w:r>
    </w:p>
  </w:footnote>
  <w:footnote w:id="22">
    <w:p w14:paraId="2760839F" w14:textId="06A1E557"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DD3A73" w:rsidRPr="00130476">
        <w:rPr>
          <w:rFonts w:cs="Arial"/>
          <w:szCs w:val="18"/>
        </w:rPr>
        <w:tab/>
      </w:r>
      <w:r w:rsidRPr="00130476">
        <w:rPr>
          <w:rFonts w:cs="Arial"/>
          <w:szCs w:val="18"/>
        </w:rPr>
        <w:t xml:space="preserve">Telus </w:t>
      </w:r>
      <w:r w:rsidR="0025718C" w:rsidRPr="00130476">
        <w:rPr>
          <w:rFonts w:cs="Arial"/>
          <w:szCs w:val="18"/>
        </w:rPr>
        <w:t>Comments</w:t>
      </w:r>
      <w:r w:rsidRPr="00130476">
        <w:rPr>
          <w:rFonts w:cs="Arial"/>
          <w:szCs w:val="18"/>
        </w:rPr>
        <w:t>, paragraph 38.</w:t>
      </w:r>
    </w:p>
  </w:footnote>
  <w:footnote w:id="23">
    <w:p w14:paraId="3CA626DB" w14:textId="3D8974EF" w:rsidR="00E93075" w:rsidRPr="00130476" w:rsidRDefault="00E93075" w:rsidP="00C05D2F">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DD3A73" w:rsidRPr="00130476">
        <w:rPr>
          <w:rFonts w:cs="Arial"/>
          <w:szCs w:val="18"/>
        </w:rPr>
        <w:tab/>
      </w:r>
      <w:r w:rsidRPr="00130476">
        <w:rPr>
          <w:rFonts w:cs="Arial"/>
          <w:szCs w:val="18"/>
        </w:rPr>
        <w:t xml:space="preserve">Rogers </w:t>
      </w:r>
      <w:r w:rsidR="0025718C" w:rsidRPr="00130476">
        <w:rPr>
          <w:rFonts w:cs="Arial"/>
          <w:szCs w:val="18"/>
        </w:rPr>
        <w:t>Comments</w:t>
      </w:r>
      <w:r w:rsidRPr="00130476">
        <w:rPr>
          <w:rFonts w:cs="Arial"/>
          <w:szCs w:val="18"/>
        </w:rPr>
        <w:t>, paragraph 18.</w:t>
      </w:r>
    </w:p>
  </w:footnote>
  <w:footnote w:id="24">
    <w:p w14:paraId="4D2D6CF6" w14:textId="0D79C514" w:rsidR="00E93075" w:rsidRPr="00130476" w:rsidRDefault="00E93075" w:rsidP="002B6AEE">
      <w:pPr>
        <w:pStyle w:val="FootnoteText"/>
        <w:keepNext/>
        <w:keepLines/>
        <w:widowControl/>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00DD3A73" w:rsidRPr="00130476">
        <w:rPr>
          <w:rFonts w:cs="Arial"/>
          <w:szCs w:val="18"/>
        </w:rPr>
        <w:tab/>
      </w:r>
      <w:r w:rsidRPr="00130476">
        <w:rPr>
          <w:rFonts w:cs="Arial"/>
          <w:szCs w:val="18"/>
        </w:rPr>
        <w:t xml:space="preserve">Telus </w:t>
      </w:r>
      <w:r w:rsidR="0025718C" w:rsidRPr="00130476">
        <w:rPr>
          <w:rFonts w:cs="Arial"/>
          <w:szCs w:val="18"/>
        </w:rPr>
        <w:t>Comments</w:t>
      </w:r>
      <w:r w:rsidRPr="00130476">
        <w:rPr>
          <w:rFonts w:cs="Arial"/>
          <w:szCs w:val="18"/>
        </w:rPr>
        <w:t>, paragraph 27</w:t>
      </w:r>
      <w:r w:rsidR="00DD3A73" w:rsidRPr="00130476">
        <w:rPr>
          <w:rFonts w:cs="Arial"/>
          <w:szCs w:val="18"/>
        </w:rPr>
        <w:t xml:space="preserve">, referencing </w:t>
      </w:r>
      <w:r w:rsidR="002B6AEE" w:rsidRPr="00130476">
        <w:rPr>
          <w:rFonts w:cs="Arial"/>
          <w:szCs w:val="18"/>
        </w:rPr>
        <w:t xml:space="preserve">ISED, </w:t>
      </w:r>
      <w:r w:rsidR="002B6AEE" w:rsidRPr="00130476">
        <w:rPr>
          <w:rFonts w:cs="Arial"/>
          <w:i/>
          <w:iCs/>
          <w:szCs w:val="18"/>
        </w:rPr>
        <w:t>Canadian Table of Frequency Allocations</w:t>
      </w:r>
      <w:r w:rsidR="002B6AEE" w:rsidRPr="00130476">
        <w:rPr>
          <w:rFonts w:cs="Arial"/>
          <w:szCs w:val="18"/>
        </w:rPr>
        <w:t xml:space="preserve">, 2022, </w:t>
      </w:r>
      <w:hyperlink r:id="rId2" w:history="1">
        <w:r w:rsidR="002B6AEE" w:rsidRPr="00130476">
          <w:rPr>
            <w:rStyle w:val="Hyperlink"/>
            <w:rFonts w:cs="Arial"/>
            <w:szCs w:val="18"/>
          </w:rPr>
          <w:t>https://ised-isde.canada.ca/site/spectrum-management-telecommunications/en/learn-more/key-documents/consultations/canadian-table-frequency-allocations-sf10759</w:t>
        </w:r>
      </w:hyperlink>
      <w:r w:rsidR="002B6AEE" w:rsidRPr="00130476">
        <w:rPr>
          <w:rFonts w:cs="Arial"/>
          <w:szCs w:val="18"/>
        </w:rPr>
        <w:t>.</w:t>
      </w:r>
    </w:p>
  </w:footnote>
  <w:footnote w:id="25">
    <w:p w14:paraId="62B9E531" w14:textId="0457F77E" w:rsidR="00E93075" w:rsidRPr="002A0893" w:rsidRDefault="00E9307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2B6AEE" w:rsidRPr="002A0893">
        <w:rPr>
          <w:rFonts w:cs="Arial"/>
          <w:szCs w:val="18"/>
          <w:lang w:val="fr-FR"/>
        </w:rPr>
        <w:tab/>
      </w:r>
      <w:r w:rsidRPr="002A0893">
        <w:rPr>
          <w:rFonts w:cs="Arial"/>
          <w:szCs w:val="18"/>
          <w:lang w:val="fr-FR"/>
        </w:rPr>
        <w:t xml:space="preserve">Globalstar </w:t>
      </w:r>
      <w:r w:rsidR="0025718C" w:rsidRPr="002A0893">
        <w:rPr>
          <w:rFonts w:cs="Arial"/>
          <w:szCs w:val="18"/>
          <w:lang w:val="fr-FR"/>
        </w:rPr>
        <w:t>Comments</w:t>
      </w:r>
      <w:r w:rsidRPr="002A0893">
        <w:rPr>
          <w:rFonts w:cs="Arial"/>
          <w:szCs w:val="18"/>
          <w:lang w:val="fr-FR"/>
        </w:rPr>
        <w:t>, page 2.</w:t>
      </w:r>
    </w:p>
  </w:footnote>
  <w:footnote w:id="26">
    <w:p w14:paraId="1984FC4B" w14:textId="4B64D3F7"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2B6AEE" w:rsidRPr="002A0893">
        <w:rPr>
          <w:rFonts w:cs="Arial"/>
          <w:szCs w:val="18"/>
          <w:lang w:val="fr-FR"/>
        </w:rPr>
        <w:tab/>
      </w:r>
      <w:r w:rsidRPr="002A0893">
        <w:rPr>
          <w:rFonts w:cs="Arial"/>
          <w:szCs w:val="18"/>
          <w:lang w:val="fr-FR"/>
        </w:rPr>
        <w:t xml:space="preserve">Cogeco </w:t>
      </w:r>
      <w:r w:rsidR="0025718C" w:rsidRPr="002A0893">
        <w:rPr>
          <w:rFonts w:cs="Arial"/>
          <w:szCs w:val="18"/>
          <w:lang w:val="fr-FR"/>
        </w:rPr>
        <w:t>Comments</w:t>
      </w:r>
      <w:r w:rsidRPr="002A0893">
        <w:rPr>
          <w:rFonts w:cs="Arial"/>
          <w:szCs w:val="18"/>
          <w:lang w:val="fr-FR"/>
        </w:rPr>
        <w:t>, page 8.</w:t>
      </w:r>
    </w:p>
  </w:footnote>
  <w:footnote w:id="27">
    <w:p w14:paraId="1DCF862A" w14:textId="60AD4ECA"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2B6AEE" w:rsidRPr="002A0893">
        <w:rPr>
          <w:rFonts w:cs="Arial"/>
          <w:szCs w:val="18"/>
          <w:lang w:val="fr-FR"/>
        </w:rPr>
        <w:tab/>
      </w:r>
      <w:r w:rsidRPr="002A0893">
        <w:rPr>
          <w:rFonts w:cs="Arial"/>
          <w:szCs w:val="18"/>
          <w:lang w:val="fr-FR"/>
        </w:rPr>
        <w:t xml:space="preserve">Eastlink </w:t>
      </w:r>
      <w:r w:rsidR="0025718C" w:rsidRPr="002A0893">
        <w:rPr>
          <w:rFonts w:cs="Arial"/>
          <w:szCs w:val="18"/>
          <w:lang w:val="fr-FR"/>
        </w:rPr>
        <w:t>Comments</w:t>
      </w:r>
      <w:r w:rsidRPr="002A0893">
        <w:rPr>
          <w:rFonts w:cs="Arial"/>
          <w:szCs w:val="18"/>
          <w:lang w:val="fr-FR"/>
        </w:rPr>
        <w:t>, paragraphs 12 and 22.</w:t>
      </w:r>
    </w:p>
  </w:footnote>
  <w:footnote w:id="28">
    <w:p w14:paraId="3D5AC696" w14:textId="5E3BF4E5"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Telus </w:t>
      </w:r>
      <w:r w:rsidR="0025718C" w:rsidRPr="002A0893">
        <w:rPr>
          <w:rFonts w:cs="Arial"/>
          <w:szCs w:val="18"/>
          <w:lang w:val="fr-FR"/>
        </w:rPr>
        <w:t>Comments</w:t>
      </w:r>
      <w:r w:rsidRPr="002A0893">
        <w:rPr>
          <w:rFonts w:cs="Arial"/>
          <w:szCs w:val="18"/>
          <w:lang w:val="fr-FR"/>
        </w:rPr>
        <w:t>, paragraph 31.</w:t>
      </w:r>
    </w:p>
  </w:footnote>
  <w:footnote w:id="29">
    <w:p w14:paraId="5E812D5A" w14:textId="4C3004E2"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21.</w:t>
      </w:r>
    </w:p>
  </w:footnote>
  <w:footnote w:id="30">
    <w:p w14:paraId="1CB5ACC4" w14:textId="6AE15B15"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005B65B7" w:rsidRPr="002A0893">
        <w:rPr>
          <w:rFonts w:cs="Arial"/>
          <w:szCs w:val="18"/>
          <w:lang w:val="fr-FR"/>
        </w:rPr>
        <w:tab/>
      </w:r>
      <w:r w:rsidRPr="002A0893">
        <w:rPr>
          <w:rFonts w:cs="Arial"/>
          <w:szCs w:val="18"/>
          <w:lang w:val="fr-FR"/>
        </w:rPr>
        <w:t xml:space="preserve">Nokia </w:t>
      </w:r>
      <w:r w:rsidR="0025718C" w:rsidRPr="002A0893">
        <w:rPr>
          <w:rFonts w:cs="Arial"/>
          <w:szCs w:val="18"/>
          <w:lang w:val="fr-FR"/>
        </w:rPr>
        <w:t>Comments</w:t>
      </w:r>
      <w:r w:rsidRPr="002A0893">
        <w:rPr>
          <w:rFonts w:cs="Arial"/>
          <w:szCs w:val="18"/>
          <w:lang w:val="fr-FR"/>
        </w:rPr>
        <w:t>, pages 1 and 2.</w:t>
      </w:r>
    </w:p>
  </w:footnote>
  <w:footnote w:id="31">
    <w:p w14:paraId="00B1913B" w14:textId="7DC1F2BB"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46.</w:t>
      </w:r>
    </w:p>
  </w:footnote>
  <w:footnote w:id="32">
    <w:p w14:paraId="371D367D" w14:textId="3CFC032D"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Telus </w:t>
      </w:r>
      <w:r w:rsidR="0025718C" w:rsidRPr="002A0893">
        <w:rPr>
          <w:rFonts w:cs="Arial"/>
          <w:szCs w:val="18"/>
          <w:lang w:val="fr-FR"/>
        </w:rPr>
        <w:t>Comments</w:t>
      </w:r>
      <w:r w:rsidRPr="002A0893">
        <w:rPr>
          <w:rFonts w:cs="Arial"/>
          <w:szCs w:val="18"/>
          <w:lang w:val="fr-FR"/>
        </w:rPr>
        <w:t>, paragraph 37</w:t>
      </w:r>
      <w:r w:rsidR="00484380" w:rsidRPr="002A0893">
        <w:rPr>
          <w:rFonts w:cs="Arial"/>
          <w:szCs w:val="18"/>
          <w:lang w:val="fr-FR"/>
        </w:rPr>
        <w:t xml:space="preserve">; </w:t>
      </w:r>
      <w:r w:rsidRPr="002A0893">
        <w:rPr>
          <w:rFonts w:cs="Arial"/>
          <w:szCs w:val="18"/>
          <w:lang w:val="fr-FR"/>
        </w:rPr>
        <w:t xml:space="preserve">Sasktel </w:t>
      </w:r>
      <w:r w:rsidR="0025718C" w:rsidRPr="002A0893">
        <w:rPr>
          <w:rFonts w:cs="Arial"/>
          <w:szCs w:val="18"/>
          <w:lang w:val="fr-FR"/>
        </w:rPr>
        <w:t>Comments</w:t>
      </w:r>
      <w:r w:rsidRPr="002A0893">
        <w:rPr>
          <w:rFonts w:cs="Arial"/>
          <w:szCs w:val="18"/>
          <w:lang w:val="fr-FR"/>
        </w:rPr>
        <w:t>, paragraph 17</w:t>
      </w:r>
      <w:r w:rsidR="00484380" w:rsidRPr="002A0893">
        <w:rPr>
          <w:rFonts w:cs="Arial"/>
          <w:szCs w:val="18"/>
          <w:lang w:val="fr-FR"/>
        </w:rPr>
        <w:t>;</w:t>
      </w:r>
      <w:r w:rsidRPr="002A0893">
        <w:rPr>
          <w:rFonts w:cs="Arial"/>
          <w:szCs w:val="18"/>
          <w:lang w:val="fr-FR"/>
        </w:rPr>
        <w:t xml:space="preserve"> and </w:t>
      </w:r>
      <w:r w:rsidR="00C05D2F" w:rsidRPr="002A0893">
        <w:rPr>
          <w:rFonts w:cs="Arial"/>
          <w:szCs w:val="18"/>
          <w:lang w:val="fr-FR"/>
        </w:rPr>
        <w:t>Quebecor</w:t>
      </w:r>
      <w:r w:rsidRPr="002A0893">
        <w:rPr>
          <w:rFonts w:cs="Arial"/>
          <w:szCs w:val="18"/>
          <w:lang w:val="fr-FR"/>
        </w:rPr>
        <w:t xml:space="preserve"> </w:t>
      </w:r>
      <w:r w:rsidR="0025718C" w:rsidRPr="002A0893">
        <w:rPr>
          <w:rFonts w:cs="Arial"/>
          <w:szCs w:val="18"/>
          <w:lang w:val="fr-FR"/>
        </w:rPr>
        <w:t>Comments</w:t>
      </w:r>
      <w:r w:rsidRPr="002A0893">
        <w:rPr>
          <w:rFonts w:cs="Arial"/>
          <w:szCs w:val="18"/>
          <w:lang w:val="fr-FR"/>
        </w:rPr>
        <w:t>, paragraph 7.</w:t>
      </w:r>
    </w:p>
  </w:footnote>
  <w:footnote w:id="33">
    <w:p w14:paraId="76C019C6" w14:textId="2B12A140" w:rsidR="0015515C" w:rsidRPr="00130476" w:rsidRDefault="0015515C" w:rsidP="0038372B">
      <w:pPr>
        <w:pStyle w:val="FootnoteText"/>
        <w:tabs>
          <w:tab w:val="clear" w:pos="720"/>
        </w:tabs>
        <w:rPr>
          <w:rFonts w:cs="Arial"/>
          <w:szCs w:val="18"/>
        </w:rPr>
      </w:pPr>
      <w:r w:rsidRPr="00130476">
        <w:rPr>
          <w:rStyle w:val="FootnoteReference"/>
          <w:rFonts w:cs="Arial"/>
          <w:szCs w:val="18"/>
        </w:rPr>
        <w:footnoteRef/>
      </w:r>
      <w:r w:rsidRPr="00130476">
        <w:rPr>
          <w:rFonts w:cs="Arial"/>
          <w:szCs w:val="18"/>
        </w:rPr>
        <w:t xml:space="preserve"> </w:t>
      </w:r>
      <w:r w:rsidRPr="00130476">
        <w:rPr>
          <w:rFonts w:cs="Arial"/>
          <w:szCs w:val="18"/>
        </w:rPr>
        <w:tab/>
        <w:t xml:space="preserve">Telus </w:t>
      </w:r>
      <w:r w:rsidR="0025718C" w:rsidRPr="00130476">
        <w:rPr>
          <w:rFonts w:cs="Arial"/>
          <w:szCs w:val="18"/>
        </w:rPr>
        <w:t>Comments</w:t>
      </w:r>
      <w:r w:rsidRPr="00130476">
        <w:rPr>
          <w:rFonts w:cs="Arial"/>
          <w:szCs w:val="18"/>
        </w:rPr>
        <w:t>, paragraph 67</w:t>
      </w:r>
      <w:r w:rsidR="00B56A2F" w:rsidRPr="00130476">
        <w:rPr>
          <w:rFonts w:cs="Arial"/>
          <w:szCs w:val="18"/>
        </w:rPr>
        <w:t xml:space="preserve">, referencing ISED, </w:t>
      </w:r>
      <w:r w:rsidR="00B56A2F" w:rsidRPr="00130476">
        <w:rPr>
          <w:rFonts w:cs="Arial"/>
          <w:i/>
          <w:iCs/>
          <w:szCs w:val="18"/>
        </w:rPr>
        <w:t>RSS-199 — Broadband Radio Service (BRS) Equipment Operating in the Band 2500-2690 MHz</w:t>
      </w:r>
      <w:r w:rsidR="0038372B" w:rsidRPr="00130476">
        <w:rPr>
          <w:rFonts w:cs="Arial"/>
          <w:szCs w:val="18"/>
        </w:rPr>
        <w:t xml:space="preserve">, Issue 4, July 2023; and </w:t>
      </w:r>
      <w:r w:rsidR="0038372B" w:rsidRPr="00130476">
        <w:rPr>
          <w:rFonts w:cs="Arial"/>
          <w:i/>
          <w:iCs/>
          <w:szCs w:val="18"/>
        </w:rPr>
        <w:t>SRSP-517 — Technical Requirements for Broadband Radio Service (BRS) in the Band 2500-2690 MHz</w:t>
      </w:r>
      <w:r w:rsidR="0038372B" w:rsidRPr="00130476">
        <w:rPr>
          <w:rFonts w:cs="Arial"/>
          <w:szCs w:val="18"/>
        </w:rPr>
        <w:t xml:space="preserve">, Issue 2, July 2023, </w:t>
      </w:r>
      <w:hyperlink r:id="rId3" w:anchor="ne6" w:history="1">
        <w:r w:rsidR="00785326" w:rsidRPr="00130476">
          <w:rPr>
            <w:rStyle w:val="Hyperlink"/>
            <w:rFonts w:cs="Arial"/>
            <w:szCs w:val="18"/>
          </w:rPr>
          <w:t>https://gazette.gc.ca/rp-pr/p1/2023/2023-08-05/html/notice-avis-eng.html#ne6</w:t>
        </w:r>
      </w:hyperlink>
      <w:r w:rsidR="00785326" w:rsidRPr="00130476">
        <w:rPr>
          <w:rFonts w:cs="Arial"/>
          <w:szCs w:val="18"/>
        </w:rPr>
        <w:t>.</w:t>
      </w:r>
    </w:p>
  </w:footnote>
  <w:footnote w:id="34">
    <w:p w14:paraId="42A9A75B" w14:textId="06D166D2"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r>
      <w:r w:rsidR="00DD4F1E" w:rsidRPr="002A0893">
        <w:rPr>
          <w:rFonts w:cs="Arial"/>
          <w:szCs w:val="18"/>
          <w:lang w:val="fr-FR"/>
        </w:rPr>
        <w:t xml:space="preserve">Telus Comments, </w:t>
      </w:r>
      <w:r w:rsidRPr="002A0893">
        <w:rPr>
          <w:rFonts w:cs="Arial"/>
          <w:szCs w:val="18"/>
          <w:lang w:val="fr-FR"/>
        </w:rPr>
        <w:t>paragraph 44.</w:t>
      </w:r>
    </w:p>
  </w:footnote>
  <w:footnote w:id="35">
    <w:p w14:paraId="01863397" w14:textId="42665B23"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r>
      <w:r w:rsidR="00484380" w:rsidRPr="002A0893">
        <w:rPr>
          <w:rFonts w:cs="Arial"/>
          <w:szCs w:val="18"/>
          <w:lang w:val="fr-FR"/>
        </w:rPr>
        <w:t>Ibid.,</w:t>
      </w:r>
      <w:r w:rsidRPr="002A0893">
        <w:rPr>
          <w:rFonts w:cs="Arial"/>
          <w:szCs w:val="18"/>
          <w:lang w:val="fr-FR"/>
        </w:rPr>
        <w:t xml:space="preserve"> paragraph 41.</w:t>
      </w:r>
    </w:p>
  </w:footnote>
  <w:footnote w:id="36">
    <w:p w14:paraId="1475E00E" w14:textId="7304F4FA" w:rsidR="0015515C" w:rsidRPr="002A0893" w:rsidRDefault="0015515C"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r>
      <w:r w:rsidR="00484380" w:rsidRPr="002A0893">
        <w:rPr>
          <w:rFonts w:cs="Arial"/>
          <w:szCs w:val="18"/>
          <w:lang w:val="fr-FR"/>
        </w:rPr>
        <w:t>Ibid.,</w:t>
      </w:r>
      <w:r w:rsidRPr="002A0893">
        <w:rPr>
          <w:rFonts w:cs="Arial"/>
          <w:szCs w:val="18"/>
          <w:lang w:val="fr-FR"/>
        </w:rPr>
        <w:t xml:space="preserve"> paragraph 50.</w:t>
      </w:r>
    </w:p>
  </w:footnote>
  <w:footnote w:id="37">
    <w:p w14:paraId="28677B98" w14:textId="2F32AF1A"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r>
      <w:r w:rsidR="00484380" w:rsidRPr="002A0893">
        <w:rPr>
          <w:rFonts w:cs="Arial"/>
          <w:szCs w:val="18"/>
          <w:lang w:val="fr-FR"/>
        </w:rPr>
        <w:t>Ibid.,</w:t>
      </w:r>
      <w:r w:rsidRPr="002A0893">
        <w:rPr>
          <w:rFonts w:cs="Arial"/>
          <w:szCs w:val="18"/>
          <w:lang w:val="fr-FR"/>
        </w:rPr>
        <w:t xml:space="preserve"> paragraph 47.</w:t>
      </w:r>
    </w:p>
  </w:footnote>
  <w:footnote w:id="38">
    <w:p w14:paraId="24FD3B14" w14:textId="3504EC37"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Cogeco </w:t>
      </w:r>
      <w:r w:rsidR="0025718C" w:rsidRPr="002A0893">
        <w:rPr>
          <w:rFonts w:cs="Arial"/>
          <w:szCs w:val="18"/>
          <w:lang w:val="fr-FR"/>
        </w:rPr>
        <w:t>Comments</w:t>
      </w:r>
      <w:r w:rsidRPr="002A0893">
        <w:rPr>
          <w:rFonts w:cs="Arial"/>
          <w:szCs w:val="18"/>
          <w:lang w:val="fr-FR"/>
        </w:rPr>
        <w:t>, page 7.</w:t>
      </w:r>
    </w:p>
  </w:footnote>
  <w:footnote w:id="39">
    <w:p w14:paraId="21D04556" w14:textId="74832ED9"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Sasktel </w:t>
      </w:r>
      <w:r w:rsidR="0025718C" w:rsidRPr="002A0893">
        <w:rPr>
          <w:rFonts w:cs="Arial"/>
          <w:szCs w:val="18"/>
          <w:lang w:val="fr-FR"/>
        </w:rPr>
        <w:t>Comments</w:t>
      </w:r>
      <w:r w:rsidRPr="002A0893">
        <w:rPr>
          <w:rFonts w:cs="Arial"/>
          <w:szCs w:val="18"/>
          <w:lang w:val="fr-FR"/>
        </w:rPr>
        <w:t>, paragraph 19</w:t>
      </w:r>
      <w:r w:rsidR="002C1F69" w:rsidRPr="002A0893">
        <w:rPr>
          <w:rFonts w:cs="Arial"/>
          <w:szCs w:val="18"/>
          <w:lang w:val="fr-FR"/>
        </w:rPr>
        <w:t xml:space="preserve">; </w:t>
      </w:r>
      <w:r w:rsidRPr="002A0893">
        <w:rPr>
          <w:rFonts w:cs="Arial"/>
          <w:szCs w:val="18"/>
          <w:lang w:val="fr-FR"/>
        </w:rPr>
        <w:t xml:space="preserve">Ecotel </w:t>
      </w:r>
      <w:r w:rsidR="0025718C" w:rsidRPr="002A0893">
        <w:rPr>
          <w:rFonts w:cs="Arial"/>
          <w:szCs w:val="18"/>
          <w:lang w:val="fr-FR"/>
        </w:rPr>
        <w:t>Comments</w:t>
      </w:r>
      <w:r w:rsidRPr="002A0893">
        <w:rPr>
          <w:rFonts w:cs="Arial"/>
          <w:szCs w:val="18"/>
          <w:lang w:val="fr-FR"/>
        </w:rPr>
        <w:t>, paragraph 18</w:t>
      </w:r>
      <w:r w:rsidR="002C1F69" w:rsidRPr="002A0893">
        <w:rPr>
          <w:rFonts w:cs="Arial"/>
          <w:szCs w:val="18"/>
          <w:lang w:val="fr-FR"/>
        </w:rPr>
        <w:t>;</w:t>
      </w:r>
      <w:r w:rsidRPr="002A0893">
        <w:rPr>
          <w:rFonts w:cs="Arial"/>
          <w:szCs w:val="18"/>
          <w:lang w:val="fr-FR"/>
        </w:rPr>
        <w:t xml:space="preserve"> and </w:t>
      </w:r>
      <w:r w:rsidR="00C05D2F" w:rsidRPr="002A0893">
        <w:rPr>
          <w:rFonts w:cs="Arial"/>
          <w:szCs w:val="18"/>
          <w:lang w:val="fr-FR"/>
        </w:rPr>
        <w:t>Quebecor</w:t>
      </w:r>
      <w:r w:rsidR="00C05D2F" w:rsidRPr="002A0893" w:rsidDel="00C05D2F">
        <w:rPr>
          <w:rFonts w:cs="Arial"/>
          <w:szCs w:val="18"/>
          <w:lang w:val="fr-FR"/>
        </w:rPr>
        <w:t xml:space="preserve"> </w:t>
      </w:r>
      <w:r w:rsidR="0025718C" w:rsidRPr="002A0893">
        <w:rPr>
          <w:rFonts w:cs="Arial"/>
          <w:szCs w:val="18"/>
          <w:lang w:val="fr-FR"/>
        </w:rPr>
        <w:t>Comments</w:t>
      </w:r>
      <w:r w:rsidRPr="002A0893">
        <w:rPr>
          <w:rFonts w:cs="Arial"/>
          <w:szCs w:val="18"/>
          <w:lang w:val="fr-FR"/>
        </w:rPr>
        <w:t>, paragraph 8.</w:t>
      </w:r>
    </w:p>
  </w:footnote>
  <w:footnote w:id="40">
    <w:p w14:paraId="4E00AA44" w14:textId="6102E8C2"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61</w:t>
      </w:r>
      <w:r w:rsidR="002C1F69" w:rsidRPr="002A0893">
        <w:rPr>
          <w:rFonts w:cs="Arial"/>
          <w:szCs w:val="18"/>
          <w:lang w:val="fr-FR"/>
        </w:rPr>
        <w:t xml:space="preserve">; </w:t>
      </w:r>
      <w:r w:rsidRPr="002A0893">
        <w:rPr>
          <w:rFonts w:cs="Arial"/>
          <w:szCs w:val="18"/>
          <w:lang w:val="fr-FR"/>
        </w:rPr>
        <w:t xml:space="preserve">Cogeco </w:t>
      </w:r>
      <w:r w:rsidR="0025718C" w:rsidRPr="002A0893">
        <w:rPr>
          <w:rFonts w:cs="Arial"/>
          <w:szCs w:val="18"/>
          <w:lang w:val="fr-FR"/>
        </w:rPr>
        <w:t>Comments</w:t>
      </w:r>
      <w:r w:rsidRPr="002A0893">
        <w:rPr>
          <w:rFonts w:cs="Arial"/>
          <w:szCs w:val="18"/>
          <w:lang w:val="fr-FR"/>
        </w:rPr>
        <w:t>, page 3</w:t>
      </w:r>
      <w:r w:rsidR="002C1F69" w:rsidRPr="002A0893">
        <w:rPr>
          <w:rFonts w:cs="Arial"/>
          <w:szCs w:val="18"/>
          <w:lang w:val="fr-FR"/>
        </w:rPr>
        <w:t>;</w:t>
      </w:r>
      <w:r w:rsidRPr="002A0893">
        <w:rPr>
          <w:rFonts w:cs="Arial"/>
          <w:szCs w:val="18"/>
          <w:lang w:val="fr-FR"/>
        </w:rPr>
        <w:t xml:space="preserve"> and </w:t>
      </w:r>
      <w:r w:rsidR="00C05D2F" w:rsidRPr="002A0893">
        <w:rPr>
          <w:rFonts w:cs="Arial"/>
          <w:szCs w:val="18"/>
          <w:lang w:val="fr-FR"/>
        </w:rPr>
        <w:t>Quebecor</w:t>
      </w:r>
      <w:r w:rsidRPr="002A0893">
        <w:rPr>
          <w:rFonts w:cs="Arial"/>
          <w:szCs w:val="18"/>
          <w:lang w:val="fr-FR"/>
        </w:rPr>
        <w:t xml:space="preserve"> </w:t>
      </w:r>
      <w:r w:rsidR="0025718C" w:rsidRPr="002A0893">
        <w:rPr>
          <w:rFonts w:cs="Arial"/>
          <w:szCs w:val="18"/>
          <w:lang w:val="fr-FR"/>
        </w:rPr>
        <w:t>Comments</w:t>
      </w:r>
      <w:r w:rsidRPr="002A0893">
        <w:rPr>
          <w:rFonts w:cs="Arial"/>
          <w:szCs w:val="18"/>
          <w:lang w:val="fr-FR"/>
        </w:rPr>
        <w:t>, paragraph 8.</w:t>
      </w:r>
    </w:p>
  </w:footnote>
  <w:footnote w:id="41">
    <w:p w14:paraId="0A90CB1F" w14:textId="7A6F8CD8"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xml:space="preserve"> paragraph 61.</w:t>
      </w:r>
    </w:p>
  </w:footnote>
  <w:footnote w:id="42">
    <w:p w14:paraId="6FCD249F" w14:textId="274478A0" w:rsidR="007C3B16" w:rsidRPr="002A0893" w:rsidRDefault="007C3B16"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Cogeco </w:t>
      </w:r>
      <w:r w:rsidR="0025718C" w:rsidRPr="002A0893">
        <w:rPr>
          <w:rFonts w:cs="Arial"/>
          <w:szCs w:val="18"/>
          <w:lang w:val="fr-FR"/>
        </w:rPr>
        <w:t>Comments</w:t>
      </w:r>
      <w:r w:rsidRPr="002A0893">
        <w:rPr>
          <w:rFonts w:cs="Arial"/>
          <w:szCs w:val="18"/>
          <w:lang w:val="fr-FR"/>
        </w:rPr>
        <w:t>, page 7.</w:t>
      </w:r>
    </w:p>
  </w:footnote>
  <w:footnote w:id="43">
    <w:p w14:paraId="5D82BF1F" w14:textId="258A882F" w:rsidR="00891757" w:rsidRPr="002A0893" w:rsidRDefault="0089175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46</w:t>
      </w:r>
      <w:r w:rsidR="00B4288F" w:rsidRPr="002A0893">
        <w:rPr>
          <w:rFonts w:cs="Arial"/>
          <w:szCs w:val="18"/>
          <w:lang w:val="fr-FR"/>
        </w:rPr>
        <w:t>;</w:t>
      </w:r>
      <w:r w:rsidRPr="002A0893">
        <w:rPr>
          <w:rFonts w:cs="Arial"/>
          <w:szCs w:val="18"/>
          <w:lang w:val="fr-FR"/>
        </w:rPr>
        <w:t xml:space="preserve"> Telus </w:t>
      </w:r>
      <w:r w:rsidR="0025718C" w:rsidRPr="002A0893">
        <w:rPr>
          <w:rFonts w:cs="Arial"/>
          <w:szCs w:val="18"/>
          <w:lang w:val="fr-FR"/>
        </w:rPr>
        <w:t>Comments</w:t>
      </w:r>
      <w:r w:rsidRPr="002A0893">
        <w:rPr>
          <w:rFonts w:cs="Arial"/>
          <w:szCs w:val="18"/>
          <w:lang w:val="fr-FR"/>
        </w:rPr>
        <w:t>, paragraph 57</w:t>
      </w:r>
      <w:r w:rsidR="00B4288F" w:rsidRPr="002A0893">
        <w:rPr>
          <w:rFonts w:cs="Arial"/>
          <w:szCs w:val="18"/>
          <w:lang w:val="fr-FR"/>
        </w:rPr>
        <w:t xml:space="preserve">; </w:t>
      </w:r>
      <w:r w:rsidRPr="002A0893">
        <w:rPr>
          <w:rFonts w:cs="Arial"/>
          <w:szCs w:val="18"/>
          <w:lang w:val="fr-FR"/>
        </w:rPr>
        <w:t xml:space="preserve">Sasktel </w:t>
      </w:r>
      <w:r w:rsidR="0025718C" w:rsidRPr="002A0893">
        <w:rPr>
          <w:rFonts w:cs="Arial"/>
          <w:szCs w:val="18"/>
          <w:lang w:val="fr-FR"/>
        </w:rPr>
        <w:t>Comments</w:t>
      </w:r>
      <w:r w:rsidRPr="002A0893">
        <w:rPr>
          <w:rFonts w:cs="Arial"/>
          <w:szCs w:val="18"/>
          <w:lang w:val="fr-FR"/>
        </w:rPr>
        <w:t>, paragraph 21</w:t>
      </w:r>
      <w:r w:rsidR="00B4288F" w:rsidRPr="002A0893">
        <w:rPr>
          <w:rFonts w:cs="Arial"/>
          <w:szCs w:val="18"/>
          <w:lang w:val="fr-FR"/>
        </w:rPr>
        <w:t xml:space="preserve">; </w:t>
      </w:r>
      <w:r w:rsidRPr="002A0893">
        <w:rPr>
          <w:rFonts w:cs="Arial"/>
          <w:szCs w:val="18"/>
          <w:lang w:val="fr-FR"/>
        </w:rPr>
        <w:t>Cogeco</w:t>
      </w:r>
      <w:r w:rsidR="00B4288F" w:rsidRPr="002A0893">
        <w:rPr>
          <w:rFonts w:cs="Arial"/>
          <w:szCs w:val="18"/>
          <w:lang w:val="fr-FR"/>
        </w:rPr>
        <w:t> </w:t>
      </w:r>
      <w:r w:rsidR="0025718C" w:rsidRPr="002A0893">
        <w:rPr>
          <w:rFonts w:cs="Arial"/>
          <w:szCs w:val="18"/>
          <w:lang w:val="fr-FR"/>
        </w:rPr>
        <w:t>Comments</w:t>
      </w:r>
      <w:r w:rsidRPr="002A0893">
        <w:rPr>
          <w:rFonts w:cs="Arial"/>
          <w:szCs w:val="18"/>
          <w:lang w:val="fr-FR"/>
        </w:rPr>
        <w:t>, page 8</w:t>
      </w:r>
      <w:r w:rsidR="00B4288F" w:rsidRPr="002A0893">
        <w:rPr>
          <w:rFonts w:cs="Arial"/>
          <w:szCs w:val="18"/>
          <w:lang w:val="fr-FR"/>
        </w:rPr>
        <w:t>;</w:t>
      </w:r>
      <w:r w:rsidRPr="002A0893">
        <w:rPr>
          <w:rFonts w:cs="Arial"/>
          <w:szCs w:val="18"/>
          <w:lang w:val="fr-FR"/>
        </w:rPr>
        <w:t xml:space="preserve"> and Xplore </w:t>
      </w:r>
      <w:r w:rsidR="0025718C" w:rsidRPr="002A0893">
        <w:rPr>
          <w:rFonts w:cs="Arial"/>
          <w:szCs w:val="18"/>
          <w:lang w:val="fr-FR"/>
        </w:rPr>
        <w:t>Comments</w:t>
      </w:r>
      <w:r w:rsidRPr="002A0893">
        <w:rPr>
          <w:rFonts w:cs="Arial"/>
          <w:szCs w:val="18"/>
          <w:lang w:val="fr-FR"/>
        </w:rPr>
        <w:t>, paragraph 28.</w:t>
      </w:r>
    </w:p>
  </w:footnote>
  <w:footnote w:id="44">
    <w:p w14:paraId="41EFA352" w14:textId="209E917A" w:rsidR="00F75A77" w:rsidRPr="002A0893" w:rsidRDefault="00F75A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64.</w:t>
      </w:r>
    </w:p>
  </w:footnote>
  <w:footnote w:id="45">
    <w:p w14:paraId="21595A2E" w14:textId="209CCDAF" w:rsidR="00F75A77" w:rsidRPr="002A0893" w:rsidRDefault="00F75A77"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Cogeco </w:t>
      </w:r>
      <w:r w:rsidR="0025718C" w:rsidRPr="002A0893">
        <w:rPr>
          <w:rFonts w:cs="Arial"/>
          <w:szCs w:val="18"/>
          <w:lang w:val="fr-FR"/>
        </w:rPr>
        <w:t>Comments</w:t>
      </w:r>
      <w:r w:rsidRPr="002A0893">
        <w:rPr>
          <w:rFonts w:cs="Arial"/>
          <w:szCs w:val="18"/>
          <w:lang w:val="fr-FR"/>
        </w:rPr>
        <w:t>, page 8</w:t>
      </w:r>
      <w:r w:rsidR="00B4288F" w:rsidRPr="002A0893">
        <w:rPr>
          <w:rFonts w:cs="Arial"/>
          <w:szCs w:val="18"/>
          <w:lang w:val="fr-FR"/>
        </w:rPr>
        <w:t>;</w:t>
      </w:r>
      <w:r w:rsidRPr="002A0893">
        <w:rPr>
          <w:rFonts w:cs="Arial"/>
          <w:szCs w:val="18"/>
          <w:lang w:val="fr-FR"/>
        </w:rPr>
        <w:t xml:space="preserve"> and Ecotel </w:t>
      </w:r>
      <w:r w:rsidR="0025718C" w:rsidRPr="002A0893">
        <w:rPr>
          <w:rFonts w:cs="Arial"/>
          <w:szCs w:val="18"/>
          <w:lang w:val="fr-FR"/>
        </w:rPr>
        <w:t>Comments</w:t>
      </w:r>
      <w:r w:rsidRPr="002A0893">
        <w:rPr>
          <w:rFonts w:cs="Arial"/>
          <w:szCs w:val="18"/>
          <w:lang w:val="fr-FR"/>
        </w:rPr>
        <w:t>, paragraph 25.</w:t>
      </w:r>
    </w:p>
  </w:footnote>
  <w:footnote w:id="46">
    <w:p w14:paraId="7BE564EF" w14:textId="77777777" w:rsidR="00F75A77" w:rsidRPr="002A0893" w:rsidRDefault="00F75A77" w:rsidP="00C05D2F">
      <w:pPr>
        <w:tabs>
          <w:tab w:val="clear" w:pos="720"/>
        </w:tabs>
        <w:ind w:left="360" w:hanging="360"/>
        <w:jc w:val="both"/>
        <w:rPr>
          <w:rFonts w:cs="Arial"/>
          <w:sz w:val="4"/>
          <w:szCs w:val="4"/>
          <w:lang w:val="fr-FR"/>
        </w:rPr>
      </w:pPr>
    </w:p>
  </w:footnote>
  <w:footnote w:id="47">
    <w:p w14:paraId="75FE116B" w14:textId="2ED16F1A" w:rsidR="00184A4F" w:rsidRPr="002A0893" w:rsidRDefault="00184A4F"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Bell </w:t>
      </w:r>
      <w:r w:rsidR="0025718C" w:rsidRPr="002A0893">
        <w:rPr>
          <w:rFonts w:cs="Arial"/>
          <w:szCs w:val="18"/>
          <w:lang w:val="fr-FR"/>
        </w:rPr>
        <w:t>Comments</w:t>
      </w:r>
      <w:r w:rsidRPr="002A0893">
        <w:rPr>
          <w:rFonts w:cs="Arial"/>
          <w:szCs w:val="18"/>
          <w:lang w:val="fr-FR"/>
        </w:rPr>
        <w:t>, paragraph 27.</w:t>
      </w:r>
    </w:p>
  </w:footnote>
  <w:footnote w:id="48">
    <w:p w14:paraId="2EEF19E7" w14:textId="1DCAD920" w:rsidR="00184A4F" w:rsidRPr="002A0893" w:rsidRDefault="00184A4F"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15.</w:t>
      </w:r>
    </w:p>
  </w:footnote>
  <w:footnote w:id="49">
    <w:p w14:paraId="25C17947" w14:textId="4E97445F" w:rsidR="00184A4F" w:rsidRPr="002A0893" w:rsidRDefault="00184A4F"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Eastlink </w:t>
      </w:r>
      <w:r w:rsidR="0025718C" w:rsidRPr="002A0893">
        <w:rPr>
          <w:rFonts w:cs="Arial"/>
          <w:szCs w:val="18"/>
          <w:lang w:val="fr-FR"/>
        </w:rPr>
        <w:t>Comments</w:t>
      </w:r>
      <w:r w:rsidRPr="002A0893">
        <w:rPr>
          <w:rFonts w:cs="Arial"/>
          <w:szCs w:val="18"/>
          <w:lang w:val="fr-FR"/>
        </w:rPr>
        <w:t>, paragraph 18</w:t>
      </w:r>
      <w:r w:rsidR="00CC6221" w:rsidRPr="002A0893">
        <w:rPr>
          <w:rFonts w:cs="Arial"/>
          <w:szCs w:val="18"/>
          <w:lang w:val="fr-FR"/>
        </w:rPr>
        <w:t>;</w:t>
      </w:r>
      <w:r w:rsidRPr="002A0893">
        <w:rPr>
          <w:rFonts w:cs="Arial"/>
          <w:szCs w:val="18"/>
          <w:lang w:val="fr-FR"/>
        </w:rPr>
        <w:t xml:space="preserve"> Sasktel </w:t>
      </w:r>
      <w:r w:rsidR="0025718C" w:rsidRPr="002A0893">
        <w:rPr>
          <w:rFonts w:cs="Arial"/>
          <w:szCs w:val="18"/>
          <w:lang w:val="fr-FR"/>
        </w:rPr>
        <w:t>Comments</w:t>
      </w:r>
      <w:r w:rsidRPr="002A0893">
        <w:rPr>
          <w:rFonts w:cs="Arial"/>
          <w:szCs w:val="18"/>
          <w:lang w:val="fr-FR"/>
        </w:rPr>
        <w:t>, paragraph 9</w:t>
      </w:r>
      <w:r w:rsidR="00CC6221" w:rsidRPr="002A0893">
        <w:rPr>
          <w:rFonts w:cs="Arial"/>
          <w:szCs w:val="18"/>
          <w:lang w:val="fr-FR"/>
        </w:rPr>
        <w:t>;</w:t>
      </w:r>
      <w:r w:rsidRPr="002A0893">
        <w:rPr>
          <w:rFonts w:cs="Arial"/>
          <w:szCs w:val="18"/>
          <w:lang w:val="fr-FR"/>
        </w:rPr>
        <w:t xml:space="preserve"> and Ecotel </w:t>
      </w:r>
      <w:r w:rsidR="0025718C" w:rsidRPr="002A0893">
        <w:rPr>
          <w:rFonts w:cs="Arial"/>
          <w:szCs w:val="18"/>
          <w:lang w:val="fr-FR"/>
        </w:rPr>
        <w:t>Comments</w:t>
      </w:r>
      <w:r w:rsidRPr="002A0893">
        <w:rPr>
          <w:rFonts w:cs="Arial"/>
          <w:szCs w:val="18"/>
          <w:lang w:val="fr-FR"/>
        </w:rPr>
        <w:t>, paragraph 26.</w:t>
      </w:r>
    </w:p>
  </w:footnote>
  <w:footnote w:id="50">
    <w:p w14:paraId="0EEB8512" w14:textId="77777777" w:rsidR="005333D9" w:rsidRPr="002A0893" w:rsidRDefault="005333D9" w:rsidP="005333D9">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SPFC, section 4.3.</w:t>
      </w:r>
    </w:p>
  </w:footnote>
  <w:footnote w:id="51">
    <w:p w14:paraId="0A5661C7" w14:textId="2D29BADB" w:rsidR="00184A4F" w:rsidRPr="002A0893" w:rsidRDefault="00184A4F"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Sasktel </w:t>
      </w:r>
      <w:r w:rsidR="0025718C" w:rsidRPr="002A0893">
        <w:rPr>
          <w:rFonts w:cs="Arial"/>
          <w:szCs w:val="18"/>
          <w:lang w:val="fr-FR"/>
        </w:rPr>
        <w:t>Comments</w:t>
      </w:r>
      <w:r w:rsidRPr="002A0893">
        <w:rPr>
          <w:rFonts w:cs="Arial"/>
          <w:szCs w:val="18"/>
          <w:lang w:val="fr-FR"/>
        </w:rPr>
        <w:t>, paragraph 15.</w:t>
      </w:r>
    </w:p>
  </w:footnote>
  <w:footnote w:id="52">
    <w:p w14:paraId="2EF1BFA0" w14:textId="4A4FF911" w:rsidR="00184A4F" w:rsidRPr="002A0893" w:rsidRDefault="00184A4F"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Bell </w:t>
      </w:r>
      <w:r w:rsidR="0025718C" w:rsidRPr="002A0893">
        <w:rPr>
          <w:rFonts w:cs="Arial"/>
          <w:szCs w:val="18"/>
          <w:lang w:val="fr-FR"/>
        </w:rPr>
        <w:t>Comments</w:t>
      </w:r>
      <w:r w:rsidRPr="002A0893">
        <w:rPr>
          <w:rFonts w:cs="Arial"/>
          <w:szCs w:val="18"/>
          <w:lang w:val="fr-FR"/>
        </w:rPr>
        <w:t>, paragraph 27.</w:t>
      </w:r>
    </w:p>
  </w:footnote>
  <w:footnote w:id="53">
    <w:p w14:paraId="17A0F175" w14:textId="1C26CD6D"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paragraphs 62 and 70</w:t>
      </w:r>
      <w:r w:rsidR="00EA3DA9" w:rsidRPr="002A0893">
        <w:rPr>
          <w:rFonts w:cs="Arial"/>
          <w:szCs w:val="18"/>
          <w:lang w:val="fr-FR"/>
        </w:rPr>
        <w:t>;</w:t>
      </w:r>
      <w:r w:rsidRPr="002A0893">
        <w:rPr>
          <w:rFonts w:cs="Arial"/>
          <w:szCs w:val="18"/>
          <w:lang w:val="fr-FR"/>
        </w:rPr>
        <w:t xml:space="preserve"> Cogeco </w:t>
      </w:r>
      <w:r w:rsidR="0025718C" w:rsidRPr="002A0893">
        <w:rPr>
          <w:rFonts w:cs="Arial"/>
          <w:szCs w:val="18"/>
          <w:lang w:val="fr-FR"/>
        </w:rPr>
        <w:t>Comments</w:t>
      </w:r>
      <w:r w:rsidRPr="002A0893">
        <w:rPr>
          <w:rFonts w:cs="Arial"/>
          <w:szCs w:val="18"/>
          <w:lang w:val="fr-FR"/>
        </w:rPr>
        <w:t>, page 10</w:t>
      </w:r>
      <w:r w:rsidR="00EA3DA9" w:rsidRPr="002A0893">
        <w:rPr>
          <w:rFonts w:cs="Arial"/>
          <w:szCs w:val="18"/>
          <w:lang w:val="fr-FR"/>
        </w:rPr>
        <w:t>;</w:t>
      </w:r>
      <w:r w:rsidRPr="002A0893">
        <w:rPr>
          <w:rFonts w:cs="Arial"/>
          <w:szCs w:val="18"/>
          <w:lang w:val="fr-FR"/>
        </w:rPr>
        <w:t xml:space="preserve"> and Telus </w:t>
      </w:r>
      <w:r w:rsidR="0025718C" w:rsidRPr="002A0893">
        <w:rPr>
          <w:rFonts w:cs="Arial"/>
          <w:szCs w:val="18"/>
          <w:lang w:val="fr-FR"/>
        </w:rPr>
        <w:t>Comments</w:t>
      </w:r>
      <w:r w:rsidRPr="002A0893">
        <w:rPr>
          <w:rFonts w:cs="Arial"/>
          <w:szCs w:val="18"/>
          <w:lang w:val="fr-FR"/>
        </w:rPr>
        <w:t>, paragraph 65.</w:t>
      </w:r>
    </w:p>
  </w:footnote>
  <w:footnote w:id="54">
    <w:p w14:paraId="145BDEA3" w14:textId="7516B817"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Eastlink </w:t>
      </w:r>
      <w:r w:rsidR="0025718C" w:rsidRPr="002A0893">
        <w:rPr>
          <w:rFonts w:cs="Arial"/>
          <w:szCs w:val="18"/>
          <w:lang w:val="fr-FR"/>
        </w:rPr>
        <w:t>Comments</w:t>
      </w:r>
      <w:r w:rsidRPr="002A0893">
        <w:rPr>
          <w:rFonts w:cs="Arial"/>
          <w:szCs w:val="18"/>
          <w:lang w:val="fr-FR"/>
        </w:rPr>
        <w:t>, paragraph 19.</w:t>
      </w:r>
    </w:p>
  </w:footnote>
  <w:footnote w:id="55">
    <w:p w14:paraId="2378D17B" w14:textId="59CDCEB3"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Sasktel </w:t>
      </w:r>
      <w:r w:rsidR="0025718C" w:rsidRPr="002A0893">
        <w:rPr>
          <w:rFonts w:cs="Arial"/>
          <w:szCs w:val="18"/>
          <w:lang w:val="fr-FR"/>
        </w:rPr>
        <w:t>Comments</w:t>
      </w:r>
      <w:r w:rsidRPr="002A0893">
        <w:rPr>
          <w:rFonts w:cs="Arial"/>
          <w:szCs w:val="18"/>
          <w:lang w:val="fr-FR"/>
        </w:rPr>
        <w:t>, paragraph 28.</w:t>
      </w:r>
    </w:p>
  </w:footnote>
  <w:footnote w:id="56">
    <w:p w14:paraId="0FF0EC9D" w14:textId="04F9CBBA"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Bell </w:t>
      </w:r>
      <w:r w:rsidR="0025718C" w:rsidRPr="002A0893">
        <w:rPr>
          <w:rFonts w:cs="Arial"/>
          <w:szCs w:val="18"/>
          <w:lang w:val="fr-FR"/>
        </w:rPr>
        <w:t>Comments</w:t>
      </w:r>
      <w:r w:rsidRPr="002A0893">
        <w:rPr>
          <w:rFonts w:cs="Arial"/>
          <w:szCs w:val="18"/>
          <w:lang w:val="fr-FR"/>
        </w:rPr>
        <w:t>, paragraphs 30 and 31.</w:t>
      </w:r>
    </w:p>
  </w:footnote>
  <w:footnote w:id="57">
    <w:p w14:paraId="28B1F038" w14:textId="443EE352"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Telus </w:t>
      </w:r>
      <w:r w:rsidR="0025718C" w:rsidRPr="002A0893">
        <w:rPr>
          <w:rFonts w:cs="Arial"/>
          <w:szCs w:val="18"/>
          <w:lang w:val="fr-FR"/>
        </w:rPr>
        <w:t>Comments</w:t>
      </w:r>
      <w:r w:rsidRPr="002A0893">
        <w:rPr>
          <w:rFonts w:cs="Arial"/>
          <w:szCs w:val="18"/>
          <w:lang w:val="fr-FR"/>
        </w:rPr>
        <w:t>, paragraph 68.</w:t>
      </w:r>
    </w:p>
  </w:footnote>
  <w:footnote w:id="58">
    <w:p w14:paraId="4D595C20" w14:textId="0C75FAED" w:rsidR="00643C15" w:rsidRPr="002A0893" w:rsidRDefault="00643C15"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Nokia </w:t>
      </w:r>
      <w:r w:rsidR="0025718C" w:rsidRPr="002A0893">
        <w:rPr>
          <w:rFonts w:cs="Arial"/>
          <w:szCs w:val="18"/>
          <w:lang w:val="fr-FR"/>
        </w:rPr>
        <w:t>Comments</w:t>
      </w:r>
      <w:r w:rsidRPr="002A0893">
        <w:rPr>
          <w:rFonts w:cs="Arial"/>
          <w:szCs w:val="18"/>
          <w:lang w:val="fr-FR"/>
        </w:rPr>
        <w:t>, page 2.</w:t>
      </w:r>
    </w:p>
  </w:footnote>
  <w:footnote w:id="59">
    <w:p w14:paraId="1BB58CB7" w14:textId="0B68E510" w:rsidR="00137990" w:rsidRPr="002A0893" w:rsidRDefault="00137990"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27.</w:t>
      </w:r>
    </w:p>
  </w:footnote>
  <w:footnote w:id="60">
    <w:p w14:paraId="1EE3F853" w14:textId="6D805885" w:rsidR="00137990" w:rsidRPr="002A0893" w:rsidRDefault="00137990" w:rsidP="00C05D2F">
      <w:pPr>
        <w:pStyle w:val="FootnoteText"/>
        <w:tabs>
          <w:tab w:val="clear" w:pos="720"/>
        </w:tabs>
        <w:rPr>
          <w:rFonts w:cs="Arial"/>
          <w:szCs w:val="18"/>
          <w:lang w:val="fr-FR"/>
        </w:rPr>
      </w:pPr>
      <w:r w:rsidRPr="00130476">
        <w:rPr>
          <w:rStyle w:val="FootnoteReference"/>
          <w:rFonts w:cs="Arial"/>
          <w:szCs w:val="18"/>
        </w:rPr>
        <w:footnoteRef/>
      </w:r>
      <w:r w:rsidRPr="002A0893">
        <w:rPr>
          <w:rFonts w:cs="Arial"/>
          <w:szCs w:val="18"/>
          <w:lang w:val="fr-FR"/>
        </w:rPr>
        <w:t xml:space="preserve"> </w:t>
      </w:r>
      <w:r w:rsidRPr="002A0893">
        <w:rPr>
          <w:rFonts w:cs="Arial"/>
          <w:szCs w:val="18"/>
          <w:lang w:val="fr-FR"/>
        </w:rPr>
        <w:tab/>
        <w:t xml:space="preserve">Rogers </w:t>
      </w:r>
      <w:r w:rsidR="0025718C" w:rsidRPr="002A0893">
        <w:rPr>
          <w:rFonts w:cs="Arial"/>
          <w:szCs w:val="18"/>
          <w:lang w:val="fr-FR"/>
        </w:rPr>
        <w:t>Comments</w:t>
      </w:r>
      <w:r w:rsidRPr="002A0893">
        <w:rPr>
          <w:rFonts w:cs="Arial"/>
          <w:szCs w:val="18"/>
          <w:lang w:val="fr-FR"/>
        </w:rPr>
        <w:t>, paragraph 3.</w:t>
      </w:r>
    </w:p>
  </w:footnote>
  <w:footnote w:id="61">
    <w:p w14:paraId="66C205E7" w14:textId="77777777" w:rsidR="0031745F" w:rsidRPr="00130476" w:rsidRDefault="0031745F" w:rsidP="0031745F">
      <w:pPr>
        <w:pStyle w:val="FootnoteText"/>
      </w:pPr>
      <w:r w:rsidRPr="00130476">
        <w:rPr>
          <w:rStyle w:val="FootnoteReference"/>
        </w:rPr>
        <w:footnoteRef/>
      </w:r>
      <w:r w:rsidRPr="00130476">
        <w:t xml:space="preserve"> </w:t>
      </w:r>
      <w:r w:rsidRPr="00130476">
        <w:tab/>
        <w:t>SPFC — Spectrum Policy Framework for Canada, section 4.4.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9C4E" w14:textId="77777777" w:rsidR="00C30DE1" w:rsidRPr="00FB3B4A" w:rsidRDefault="00C30DE1" w:rsidP="00C30DE1">
    <w:pPr>
      <w:tabs>
        <w:tab w:val="right" w:pos="9360"/>
      </w:tabs>
      <w:rPr>
        <w:rFonts w:cs="Arial"/>
      </w:rPr>
    </w:pPr>
    <w:r w:rsidRPr="00FB3B4A">
      <w:rPr>
        <w:rFonts w:cs="Arial"/>
      </w:rPr>
      <w:t>Bell Mobility Inc.</w:t>
    </w:r>
  </w:p>
  <w:p w14:paraId="1DE24FCE" w14:textId="77777777" w:rsidR="00C30DE1" w:rsidRPr="00FB3B4A" w:rsidRDefault="00C30DE1" w:rsidP="00C30DE1">
    <w:pPr>
      <w:tabs>
        <w:tab w:val="right" w:pos="9360"/>
      </w:tabs>
      <w:rPr>
        <w:rFonts w:cs="Arial"/>
        <w:highlight w:val="yellow"/>
      </w:rPr>
    </w:pPr>
    <w:r w:rsidRPr="00FB3B4A">
      <w:rPr>
        <w:rFonts w:cs="Arial"/>
      </w:rPr>
      <w:t xml:space="preserve">ISED </w:t>
    </w:r>
    <w:r w:rsidRPr="000513A5">
      <w:rPr>
        <w:rFonts w:cs="Arial"/>
      </w:rPr>
      <w:t>SPB-002-26</w:t>
    </w:r>
    <w:r w:rsidRPr="00FB3B4A">
      <w:rPr>
        <w:rFonts w:cs="Arial"/>
      </w:rPr>
      <w:t xml:space="preserve"> – </w:t>
    </w:r>
    <w:r>
      <w:rPr>
        <w:rFonts w:cs="Arial"/>
      </w:rPr>
      <w:t xml:space="preserve">Reply </w:t>
    </w:r>
    <w:r w:rsidRPr="00FB3B4A">
      <w:rPr>
        <w:rFonts w:cs="Arial"/>
      </w:rPr>
      <w:t>Comments</w:t>
    </w:r>
    <w:r>
      <w:rPr>
        <w:rFonts w:cs="Arial"/>
      </w:rPr>
      <w:tab/>
    </w:r>
    <w:r w:rsidRPr="00FA6A37">
      <w:rPr>
        <w:rFonts w:cs="Arial"/>
      </w:rPr>
      <w:t xml:space="preserve">Page </w:t>
    </w:r>
    <w:r w:rsidRPr="00FA6A37">
      <w:rPr>
        <w:rFonts w:cs="Arial"/>
      </w:rPr>
      <w:fldChar w:fldCharType="begin"/>
    </w:r>
    <w:r w:rsidRPr="00FA6A37">
      <w:rPr>
        <w:rFonts w:cs="Arial"/>
      </w:rPr>
      <w:instrText xml:space="preserve"> PAGE </w:instrText>
    </w:r>
    <w:r w:rsidRPr="00FA6A37">
      <w:rPr>
        <w:rFonts w:cs="Arial"/>
      </w:rPr>
      <w:fldChar w:fldCharType="separate"/>
    </w:r>
    <w:r>
      <w:rPr>
        <w:rFonts w:cs="Arial"/>
      </w:rPr>
      <w:t>1</w:t>
    </w:r>
    <w:r w:rsidRPr="00FA6A37">
      <w:rPr>
        <w:rFonts w:cs="Arial"/>
      </w:rPr>
      <w:fldChar w:fldCharType="end"/>
    </w:r>
    <w:r w:rsidRPr="00FA6A37">
      <w:rPr>
        <w:rFonts w:cs="Arial"/>
      </w:rPr>
      <w:t xml:space="preserve"> of </w:t>
    </w:r>
    <w:r w:rsidRPr="00FA6A37">
      <w:rPr>
        <w:rFonts w:cs="Arial"/>
      </w:rPr>
      <w:fldChar w:fldCharType="begin"/>
    </w:r>
    <w:r w:rsidRPr="00FA6A37">
      <w:rPr>
        <w:rFonts w:cs="Arial"/>
      </w:rPr>
      <w:instrText xml:space="preserve"> NUMPAGES  </w:instrText>
    </w:r>
    <w:r w:rsidRPr="00FA6A37">
      <w:rPr>
        <w:rFonts w:cs="Arial"/>
      </w:rPr>
      <w:fldChar w:fldCharType="separate"/>
    </w:r>
    <w:r>
      <w:rPr>
        <w:rFonts w:cs="Arial"/>
      </w:rPr>
      <w:t>15</w:t>
    </w:r>
    <w:r w:rsidRPr="00FA6A37">
      <w:rPr>
        <w:rFonts w:cs="Arial"/>
      </w:rPr>
      <w:fldChar w:fldCharType="end"/>
    </w:r>
  </w:p>
  <w:p w14:paraId="0E1C41DE" w14:textId="77777777" w:rsidR="00C30DE1" w:rsidRPr="00FA6A37" w:rsidRDefault="00C30DE1" w:rsidP="00C30DE1">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BAE6" w14:textId="77777777" w:rsidR="00D859C2" w:rsidRDefault="00D859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1B7D" w14:textId="77777777" w:rsidR="00C30DE1" w:rsidRPr="00FB3B4A" w:rsidRDefault="00C30DE1" w:rsidP="00C30DE1">
    <w:pPr>
      <w:tabs>
        <w:tab w:val="right" w:pos="9360"/>
      </w:tabs>
      <w:rPr>
        <w:rFonts w:cs="Arial"/>
      </w:rPr>
    </w:pPr>
    <w:r w:rsidRPr="00FB3B4A">
      <w:rPr>
        <w:rFonts w:cs="Arial"/>
      </w:rPr>
      <w:t>Bell Mobility Inc.</w:t>
    </w:r>
  </w:p>
  <w:p w14:paraId="150C4CBA" w14:textId="77777777" w:rsidR="00C30DE1" w:rsidRPr="00FB3B4A" w:rsidRDefault="00C30DE1" w:rsidP="00C30DE1">
    <w:pPr>
      <w:tabs>
        <w:tab w:val="right" w:pos="9360"/>
      </w:tabs>
      <w:rPr>
        <w:rFonts w:cs="Arial"/>
        <w:highlight w:val="yellow"/>
      </w:rPr>
    </w:pPr>
    <w:r w:rsidRPr="00FB3B4A">
      <w:rPr>
        <w:rFonts w:cs="Arial"/>
      </w:rPr>
      <w:t xml:space="preserve">ISED </w:t>
    </w:r>
    <w:r w:rsidRPr="000513A5">
      <w:rPr>
        <w:rFonts w:cs="Arial"/>
      </w:rPr>
      <w:t>SPB-002-26</w:t>
    </w:r>
    <w:r w:rsidRPr="00FB3B4A">
      <w:rPr>
        <w:rFonts w:cs="Arial"/>
      </w:rPr>
      <w:t xml:space="preserve"> – </w:t>
    </w:r>
    <w:r>
      <w:rPr>
        <w:rFonts w:cs="Arial"/>
      </w:rPr>
      <w:t xml:space="preserve">Reply </w:t>
    </w:r>
    <w:r w:rsidRPr="00FB3B4A">
      <w:rPr>
        <w:rFonts w:cs="Arial"/>
      </w:rPr>
      <w:t>Comments</w:t>
    </w:r>
    <w:r>
      <w:rPr>
        <w:rFonts w:cs="Arial"/>
      </w:rPr>
      <w:tab/>
    </w:r>
    <w:r w:rsidRPr="00FA6A37">
      <w:rPr>
        <w:rFonts w:cs="Arial"/>
      </w:rPr>
      <w:t xml:space="preserve">Page </w:t>
    </w:r>
    <w:r w:rsidRPr="00FA6A37">
      <w:rPr>
        <w:rFonts w:cs="Arial"/>
      </w:rPr>
      <w:fldChar w:fldCharType="begin"/>
    </w:r>
    <w:r w:rsidRPr="00FA6A37">
      <w:rPr>
        <w:rFonts w:cs="Arial"/>
      </w:rPr>
      <w:instrText xml:space="preserve"> PAGE </w:instrText>
    </w:r>
    <w:r w:rsidRPr="00FA6A37">
      <w:rPr>
        <w:rFonts w:cs="Arial"/>
      </w:rPr>
      <w:fldChar w:fldCharType="separate"/>
    </w:r>
    <w:r>
      <w:rPr>
        <w:rFonts w:cs="Arial"/>
      </w:rPr>
      <w:t>1</w:t>
    </w:r>
    <w:r w:rsidRPr="00FA6A37">
      <w:rPr>
        <w:rFonts w:cs="Arial"/>
      </w:rPr>
      <w:fldChar w:fldCharType="end"/>
    </w:r>
    <w:r w:rsidRPr="00FA6A37">
      <w:rPr>
        <w:rFonts w:cs="Arial"/>
      </w:rPr>
      <w:t xml:space="preserve"> of </w:t>
    </w:r>
    <w:r w:rsidRPr="00FA6A37">
      <w:rPr>
        <w:rFonts w:cs="Arial"/>
      </w:rPr>
      <w:fldChar w:fldCharType="begin"/>
    </w:r>
    <w:r w:rsidRPr="00FA6A37">
      <w:rPr>
        <w:rFonts w:cs="Arial"/>
      </w:rPr>
      <w:instrText xml:space="preserve"> NUMPAGES  </w:instrText>
    </w:r>
    <w:r w:rsidRPr="00FA6A37">
      <w:rPr>
        <w:rFonts w:cs="Arial"/>
      </w:rPr>
      <w:fldChar w:fldCharType="separate"/>
    </w:r>
    <w:r>
      <w:rPr>
        <w:rFonts w:cs="Arial"/>
      </w:rPr>
      <w:t>15</w:t>
    </w:r>
    <w:r w:rsidRPr="00FA6A37">
      <w:rPr>
        <w:rFonts w:cs="Arial"/>
      </w:rPr>
      <w:fldChar w:fldCharType="end"/>
    </w:r>
  </w:p>
  <w:p w14:paraId="13E82588" w14:textId="77777777" w:rsidR="00C30DE1" w:rsidRPr="00FA6A37" w:rsidRDefault="00C30DE1" w:rsidP="00C30DE1">
    <w:pPr>
      <w:pStyle w:val="Header"/>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CD8D" w14:textId="77777777" w:rsidR="00D859C2" w:rsidRDefault="00D85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F16E6"/>
    <w:multiLevelType w:val="multilevel"/>
    <w:tmpl w:val="96D29B0A"/>
    <w:lvl w:ilvl="0">
      <w:start w:val="1"/>
      <w:numFmt w:val="decimal"/>
      <w:pStyle w:val="Heading1"/>
      <w:lvlText w:val="%1.0"/>
      <w:lvlJc w:val="left"/>
      <w:pPr>
        <w:tabs>
          <w:tab w:val="num" w:pos="720"/>
        </w:tabs>
        <w:ind w:left="720" w:hanging="720"/>
      </w:pPr>
      <w:rPr>
        <w:rFonts w:ascii="Arial" w:hAnsi="Arial" w:hint="default"/>
        <w:b/>
        <w:i w:val="0"/>
        <w:color w:val="auto"/>
        <w:sz w:val="22"/>
        <w:szCs w:val="22"/>
        <w:u w:val="none"/>
      </w:rPr>
    </w:lvl>
    <w:lvl w:ilvl="1">
      <w:start w:val="1"/>
      <w:numFmt w:val="decimal"/>
      <w:pStyle w:val="Heading2"/>
      <w:lvlText w:val="%1.%2"/>
      <w:lvlJc w:val="left"/>
      <w:pPr>
        <w:tabs>
          <w:tab w:val="num" w:pos="720"/>
        </w:tabs>
        <w:ind w:left="720" w:hanging="720"/>
      </w:pPr>
      <w:rPr>
        <w:rFonts w:ascii="Arial" w:hAnsi="Arial" w:hint="default"/>
        <w:b/>
        <w:i w:val="0"/>
        <w:color w:val="auto"/>
        <w:sz w:val="22"/>
        <w:szCs w:val="22"/>
        <w:u w:val="none"/>
      </w:rPr>
    </w:lvl>
    <w:lvl w:ilvl="2">
      <w:start w:val="1"/>
      <w:numFmt w:val="decimal"/>
      <w:pStyle w:val="Heading3"/>
      <w:lvlText w:val="%1.%2.%3"/>
      <w:lvlJc w:val="left"/>
      <w:pPr>
        <w:tabs>
          <w:tab w:val="num" w:pos="720"/>
        </w:tabs>
        <w:ind w:left="720" w:hanging="720"/>
      </w:pPr>
      <w:rPr>
        <w:rFonts w:ascii="Arial" w:hAnsi="Arial" w:hint="default"/>
        <w:b/>
        <w:i w:val="0"/>
        <w:caps w:val="0"/>
        <w:strike w:val="0"/>
        <w:dstrike w:val="0"/>
        <w:outline w:val="0"/>
        <w:shadow w:val="0"/>
        <w:emboss w:val="0"/>
        <w:imprint w:val="0"/>
        <w:vanish w:val="0"/>
        <w:kern w:val="0"/>
        <w:sz w:val="22"/>
        <w:szCs w:val="22"/>
        <w:u w:val="none"/>
        <w:vertAlign w:val="baseline"/>
      </w:rPr>
    </w:lvl>
    <w:lvl w:ilvl="3">
      <w:start w:val="1"/>
      <w:numFmt w:val="decimal"/>
      <w:pStyle w:val="Heading4"/>
      <w:lvlText w:val="%1.%2.%3.%4"/>
      <w:lvlJc w:val="left"/>
      <w:pPr>
        <w:tabs>
          <w:tab w:val="num" w:pos="0"/>
        </w:tabs>
        <w:ind w:left="0" w:firstLine="0"/>
      </w:pPr>
      <w:rPr>
        <w:rFonts w:ascii="Arial" w:hAnsi="Arial" w:hint="default"/>
        <w:b/>
        <w:i w:val="0"/>
        <w:caps w:val="0"/>
        <w:strike w:val="0"/>
        <w:dstrike w:val="0"/>
        <w:outline w:val="0"/>
        <w:shadow w:val="0"/>
        <w:emboss w:val="0"/>
        <w:imprint w:val="0"/>
        <w:vanish w:val="0"/>
        <w:sz w:val="22"/>
        <w:szCs w:val="22"/>
        <w:u w:val="none"/>
        <w:vertAlign w:val="baseline"/>
      </w:rPr>
    </w:lvl>
    <w:lvl w:ilvl="4">
      <w:start w:val="1"/>
      <w:numFmt w:val="decimal"/>
      <w:pStyle w:val="Heading5"/>
      <w:lvlText w:val="%1.%2.%3.%4.%5"/>
      <w:lvlJc w:val="left"/>
      <w:pPr>
        <w:tabs>
          <w:tab w:val="num" w:pos="0"/>
        </w:tabs>
        <w:ind w:left="0" w:firstLine="0"/>
      </w:pPr>
      <w:rPr>
        <w:rFonts w:ascii="Arial" w:hAnsi="Arial" w:hint="default"/>
        <w:b/>
        <w:i w:val="0"/>
        <w:caps w:val="0"/>
        <w:strike w:val="0"/>
        <w:dstrike w:val="0"/>
        <w:outline w:val="0"/>
        <w:shadow w:val="0"/>
        <w:emboss w:val="0"/>
        <w:imprint w:val="0"/>
        <w:vanish w:val="0"/>
        <w:sz w:val="22"/>
        <w:szCs w:val="22"/>
        <w:u w:val="none"/>
        <w:vertAlign w:val="baseline"/>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145D625B"/>
    <w:multiLevelType w:val="multilevel"/>
    <w:tmpl w:val="0D2CC660"/>
    <w:lvl w:ilvl="0">
      <w:start w:val="1"/>
      <w:numFmt w:val="decimal"/>
      <w:lvlText w:val="%1."/>
      <w:lvlJc w:val="left"/>
      <w:pPr>
        <w:tabs>
          <w:tab w:val="num" w:pos="720"/>
        </w:tabs>
        <w:ind w:left="0" w:firstLine="0"/>
      </w:pPr>
      <w:rPr>
        <w:rFonts w:ascii="Arial" w:hAnsi="Arial" w:hint="default"/>
        <w:b w:val="0"/>
        <w:i w:val="0"/>
        <w:sz w:val="18"/>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2" w15:restartNumberingAfterBreak="0">
    <w:nsid w:val="300F5D75"/>
    <w:multiLevelType w:val="multilevel"/>
    <w:tmpl w:val="4DF41624"/>
    <w:lvl w:ilvl="0">
      <w:start w:val="1"/>
      <w:numFmt w:val="decimal"/>
      <w:lvlText w:val="%1."/>
      <w:lvlJc w:val="left"/>
      <w:pPr>
        <w:tabs>
          <w:tab w:val="num" w:pos="720"/>
        </w:tabs>
        <w:ind w:left="0" w:firstLine="0"/>
      </w:pPr>
      <w:rPr>
        <w:rFonts w:hint="default"/>
        <w:b w:val="0"/>
        <w:i w:val="0"/>
        <w:sz w:val="18"/>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3" w15:restartNumberingAfterBreak="0">
    <w:nsid w:val="6F851396"/>
    <w:multiLevelType w:val="hybridMultilevel"/>
    <w:tmpl w:val="D46CE036"/>
    <w:lvl w:ilvl="0" w:tplc="A504FD6E">
      <w:start w:val="1"/>
      <w:numFmt w:val="bullet"/>
      <w:lvlText w:val="-"/>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922251608">
    <w:abstractNumId w:val="1"/>
  </w:num>
  <w:num w:numId="2" w16cid:durableId="2105414368">
    <w:abstractNumId w:val="0"/>
  </w:num>
  <w:num w:numId="3" w16cid:durableId="181667505">
    <w:abstractNumId w:val="2"/>
  </w:num>
  <w:num w:numId="4" w16cid:durableId="98374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480"/>
    <w:rsid w:val="00014E49"/>
    <w:rsid w:val="000153A5"/>
    <w:rsid w:val="000355A6"/>
    <w:rsid w:val="000421FE"/>
    <w:rsid w:val="00057606"/>
    <w:rsid w:val="0006469C"/>
    <w:rsid w:val="000B032D"/>
    <w:rsid w:val="000E3DC8"/>
    <w:rsid w:val="00130476"/>
    <w:rsid w:val="00130841"/>
    <w:rsid w:val="00133E3D"/>
    <w:rsid w:val="00137990"/>
    <w:rsid w:val="0015515C"/>
    <w:rsid w:val="0017417E"/>
    <w:rsid w:val="00184A4F"/>
    <w:rsid w:val="00186467"/>
    <w:rsid w:val="002069CC"/>
    <w:rsid w:val="002435E9"/>
    <w:rsid w:val="00254E58"/>
    <w:rsid w:val="0025718C"/>
    <w:rsid w:val="00265CB2"/>
    <w:rsid w:val="00286FEB"/>
    <w:rsid w:val="00294026"/>
    <w:rsid w:val="002A0893"/>
    <w:rsid w:val="002A2F12"/>
    <w:rsid w:val="002B6AEE"/>
    <w:rsid w:val="002C1F69"/>
    <w:rsid w:val="002D6592"/>
    <w:rsid w:val="002F6D7E"/>
    <w:rsid w:val="00302B65"/>
    <w:rsid w:val="003167C8"/>
    <w:rsid w:val="0031745F"/>
    <w:rsid w:val="00331127"/>
    <w:rsid w:val="00342806"/>
    <w:rsid w:val="00366057"/>
    <w:rsid w:val="003671F3"/>
    <w:rsid w:val="0038372B"/>
    <w:rsid w:val="00397DBD"/>
    <w:rsid w:val="003A2436"/>
    <w:rsid w:val="003B7567"/>
    <w:rsid w:val="003D21EF"/>
    <w:rsid w:val="003F699B"/>
    <w:rsid w:val="00413123"/>
    <w:rsid w:val="00461E58"/>
    <w:rsid w:val="00465B5B"/>
    <w:rsid w:val="00471843"/>
    <w:rsid w:val="00474594"/>
    <w:rsid w:val="00474B72"/>
    <w:rsid w:val="004813D5"/>
    <w:rsid w:val="00484380"/>
    <w:rsid w:val="004A4556"/>
    <w:rsid w:val="00511310"/>
    <w:rsid w:val="005333D9"/>
    <w:rsid w:val="005423EC"/>
    <w:rsid w:val="00573348"/>
    <w:rsid w:val="00573F8E"/>
    <w:rsid w:val="0058009A"/>
    <w:rsid w:val="0058305B"/>
    <w:rsid w:val="00584BB4"/>
    <w:rsid w:val="005B4AAB"/>
    <w:rsid w:val="005B65B7"/>
    <w:rsid w:val="005D2622"/>
    <w:rsid w:val="005E699C"/>
    <w:rsid w:val="00643C15"/>
    <w:rsid w:val="00663025"/>
    <w:rsid w:val="006B26F5"/>
    <w:rsid w:val="006B7146"/>
    <w:rsid w:val="006C00B4"/>
    <w:rsid w:val="006F5449"/>
    <w:rsid w:val="006F5A8F"/>
    <w:rsid w:val="007375E1"/>
    <w:rsid w:val="007776E6"/>
    <w:rsid w:val="00785326"/>
    <w:rsid w:val="00792127"/>
    <w:rsid w:val="007A1E0A"/>
    <w:rsid w:val="007A2A13"/>
    <w:rsid w:val="007C003E"/>
    <w:rsid w:val="007C3878"/>
    <w:rsid w:val="007C3B16"/>
    <w:rsid w:val="00807333"/>
    <w:rsid w:val="00875626"/>
    <w:rsid w:val="00876A9B"/>
    <w:rsid w:val="00883981"/>
    <w:rsid w:val="00891757"/>
    <w:rsid w:val="008D6630"/>
    <w:rsid w:val="009122ED"/>
    <w:rsid w:val="00943616"/>
    <w:rsid w:val="00943FA6"/>
    <w:rsid w:val="00954488"/>
    <w:rsid w:val="00965AC0"/>
    <w:rsid w:val="00987C9E"/>
    <w:rsid w:val="009A2315"/>
    <w:rsid w:val="009A318E"/>
    <w:rsid w:val="009C38BE"/>
    <w:rsid w:val="00A3301B"/>
    <w:rsid w:val="00A849C2"/>
    <w:rsid w:val="00AA1BCD"/>
    <w:rsid w:val="00AA324E"/>
    <w:rsid w:val="00AA3377"/>
    <w:rsid w:val="00AD14ED"/>
    <w:rsid w:val="00B13B20"/>
    <w:rsid w:val="00B23E58"/>
    <w:rsid w:val="00B24CCB"/>
    <w:rsid w:val="00B30A46"/>
    <w:rsid w:val="00B4288F"/>
    <w:rsid w:val="00B461EF"/>
    <w:rsid w:val="00B56A2F"/>
    <w:rsid w:val="00B8248B"/>
    <w:rsid w:val="00B90558"/>
    <w:rsid w:val="00B91DBB"/>
    <w:rsid w:val="00BA6415"/>
    <w:rsid w:val="00BF3575"/>
    <w:rsid w:val="00C05D2F"/>
    <w:rsid w:val="00C20C12"/>
    <w:rsid w:val="00C30DE1"/>
    <w:rsid w:val="00C517FC"/>
    <w:rsid w:val="00C51DAF"/>
    <w:rsid w:val="00C53E87"/>
    <w:rsid w:val="00C604D0"/>
    <w:rsid w:val="00C622DD"/>
    <w:rsid w:val="00C67201"/>
    <w:rsid w:val="00C71DB5"/>
    <w:rsid w:val="00C812D4"/>
    <w:rsid w:val="00C828D9"/>
    <w:rsid w:val="00CC5C61"/>
    <w:rsid w:val="00CC6221"/>
    <w:rsid w:val="00CD2BDC"/>
    <w:rsid w:val="00CF278A"/>
    <w:rsid w:val="00D674B2"/>
    <w:rsid w:val="00D6774C"/>
    <w:rsid w:val="00D859C2"/>
    <w:rsid w:val="00D9233B"/>
    <w:rsid w:val="00DC2547"/>
    <w:rsid w:val="00DD3A73"/>
    <w:rsid w:val="00DD4F1E"/>
    <w:rsid w:val="00DE3502"/>
    <w:rsid w:val="00DE3C1E"/>
    <w:rsid w:val="00E3544F"/>
    <w:rsid w:val="00E36685"/>
    <w:rsid w:val="00E41772"/>
    <w:rsid w:val="00E802BF"/>
    <w:rsid w:val="00E85892"/>
    <w:rsid w:val="00E93075"/>
    <w:rsid w:val="00EA22F8"/>
    <w:rsid w:val="00EA3DA9"/>
    <w:rsid w:val="00F05EDC"/>
    <w:rsid w:val="00F36C4A"/>
    <w:rsid w:val="00F41480"/>
    <w:rsid w:val="00F47996"/>
    <w:rsid w:val="00F53D98"/>
    <w:rsid w:val="00F63FA8"/>
    <w:rsid w:val="00F75A77"/>
    <w:rsid w:val="00F769E0"/>
    <w:rsid w:val="00F93DF9"/>
    <w:rsid w:val="00FC7D8F"/>
    <w:rsid w:val="00FD484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6EE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24E"/>
    <w:pPr>
      <w:widowControl w:val="0"/>
      <w:tabs>
        <w:tab w:val="left" w:pos="720"/>
      </w:tabs>
      <w:spacing w:after="0" w:line="240" w:lineRule="auto"/>
    </w:pPr>
    <w:rPr>
      <w:rFonts w:ascii="Arial" w:eastAsia="Times New Roman" w:hAnsi="Arial" w:cs="Times New Roman"/>
      <w:szCs w:val="20"/>
      <w:lang w:eastAsia="en-CA"/>
    </w:rPr>
  </w:style>
  <w:style w:type="paragraph" w:styleId="Heading1">
    <w:name w:val="heading 1"/>
    <w:basedOn w:val="Normal"/>
    <w:next w:val="Normal"/>
    <w:link w:val="Heading1Char"/>
    <w:autoRedefine/>
    <w:qFormat/>
    <w:rsid w:val="00E3544F"/>
    <w:pPr>
      <w:keepNext/>
      <w:numPr>
        <w:numId w:val="2"/>
      </w:numPr>
      <w:tabs>
        <w:tab w:val="clear" w:pos="720"/>
      </w:tabs>
      <w:jc w:val="both"/>
      <w:outlineLvl w:val="0"/>
    </w:pPr>
    <w:rPr>
      <w:b/>
      <w:caps/>
      <w:u w:val="single"/>
    </w:rPr>
  </w:style>
  <w:style w:type="paragraph" w:styleId="Heading2">
    <w:name w:val="heading 2"/>
    <w:basedOn w:val="Normal"/>
    <w:next w:val="Normal"/>
    <w:link w:val="Heading2Char"/>
    <w:autoRedefine/>
    <w:qFormat/>
    <w:rsid w:val="00AA324E"/>
    <w:pPr>
      <w:keepNext/>
      <w:widowControl/>
      <w:numPr>
        <w:ilvl w:val="1"/>
        <w:numId w:val="2"/>
      </w:numPr>
      <w:tabs>
        <w:tab w:val="clear" w:pos="720"/>
      </w:tabs>
      <w:outlineLvl w:val="1"/>
    </w:pPr>
    <w:rPr>
      <w:b/>
      <w:u w:val="single"/>
    </w:rPr>
  </w:style>
  <w:style w:type="paragraph" w:styleId="Heading3">
    <w:name w:val="heading 3"/>
    <w:basedOn w:val="Normal"/>
    <w:next w:val="Normal"/>
    <w:link w:val="Heading3Char"/>
    <w:autoRedefine/>
    <w:qFormat/>
    <w:rsid w:val="00AA324E"/>
    <w:pPr>
      <w:keepNext/>
      <w:numPr>
        <w:ilvl w:val="2"/>
        <w:numId w:val="2"/>
      </w:numPr>
      <w:tabs>
        <w:tab w:val="clear" w:pos="720"/>
      </w:tabs>
      <w:outlineLvl w:val="2"/>
    </w:pPr>
    <w:rPr>
      <w:b/>
      <w:u w:val="single"/>
    </w:rPr>
  </w:style>
  <w:style w:type="paragraph" w:styleId="Heading4">
    <w:name w:val="heading 4"/>
    <w:basedOn w:val="Normal"/>
    <w:next w:val="Normal"/>
    <w:link w:val="Heading4Char"/>
    <w:autoRedefine/>
    <w:qFormat/>
    <w:rsid w:val="00AA324E"/>
    <w:pPr>
      <w:keepNext/>
      <w:numPr>
        <w:ilvl w:val="3"/>
        <w:numId w:val="2"/>
      </w:numPr>
      <w:tabs>
        <w:tab w:val="clear" w:pos="720"/>
      </w:tabs>
      <w:outlineLvl w:val="3"/>
    </w:pPr>
    <w:rPr>
      <w:b/>
      <w:u w:val="single"/>
    </w:rPr>
  </w:style>
  <w:style w:type="paragraph" w:styleId="Heading5">
    <w:name w:val="heading 5"/>
    <w:basedOn w:val="Normal"/>
    <w:next w:val="Normal"/>
    <w:link w:val="Heading5Char"/>
    <w:autoRedefine/>
    <w:qFormat/>
    <w:rsid w:val="00AA324E"/>
    <w:pPr>
      <w:keepNext/>
      <w:numPr>
        <w:ilvl w:val="4"/>
        <w:numId w:val="2"/>
      </w:numPr>
      <w:tabs>
        <w:tab w:val="clear" w:pos="720"/>
      </w:tabs>
      <w:outlineLvl w:val="4"/>
    </w:pPr>
    <w:rPr>
      <w:b/>
      <w:u w:val="single"/>
    </w:rPr>
  </w:style>
  <w:style w:type="paragraph" w:styleId="Heading6">
    <w:name w:val="heading 6"/>
    <w:basedOn w:val="Normal"/>
    <w:next w:val="Normal"/>
    <w:link w:val="Heading6Char"/>
    <w:qFormat/>
    <w:rsid w:val="00AA324E"/>
    <w:pPr>
      <w:numPr>
        <w:ilvl w:val="5"/>
        <w:numId w:val="2"/>
      </w:numPr>
      <w:tabs>
        <w:tab w:val="clear" w:pos="720"/>
      </w:tabs>
      <w:spacing w:before="240" w:after="60"/>
      <w:outlineLvl w:val="5"/>
    </w:pPr>
    <w:rPr>
      <w:rFonts w:ascii="Times New Roman" w:hAnsi="Times New Roman"/>
      <w:i/>
    </w:rPr>
  </w:style>
  <w:style w:type="paragraph" w:styleId="Heading7">
    <w:name w:val="heading 7"/>
    <w:basedOn w:val="Normal"/>
    <w:next w:val="Normal"/>
    <w:link w:val="Heading7Char"/>
    <w:qFormat/>
    <w:rsid w:val="00AA324E"/>
    <w:pPr>
      <w:numPr>
        <w:ilvl w:val="6"/>
        <w:numId w:val="2"/>
      </w:numPr>
      <w:tabs>
        <w:tab w:val="clear" w:pos="720"/>
      </w:tabs>
      <w:spacing w:before="240" w:after="60"/>
      <w:outlineLvl w:val="6"/>
    </w:pPr>
    <w:rPr>
      <w:sz w:val="20"/>
    </w:rPr>
  </w:style>
  <w:style w:type="paragraph" w:styleId="Heading8">
    <w:name w:val="heading 8"/>
    <w:basedOn w:val="Normal"/>
    <w:next w:val="Normal"/>
    <w:link w:val="Heading8Char"/>
    <w:qFormat/>
    <w:rsid w:val="00AA324E"/>
    <w:pPr>
      <w:numPr>
        <w:ilvl w:val="7"/>
        <w:numId w:val="2"/>
      </w:numPr>
      <w:tabs>
        <w:tab w:val="clear" w:pos="720"/>
      </w:tabs>
      <w:spacing w:before="240" w:after="60"/>
      <w:outlineLvl w:val="7"/>
    </w:pPr>
    <w:rPr>
      <w:i/>
      <w:sz w:val="20"/>
    </w:rPr>
  </w:style>
  <w:style w:type="paragraph" w:styleId="Heading9">
    <w:name w:val="heading 9"/>
    <w:basedOn w:val="Normal"/>
    <w:next w:val="Normal"/>
    <w:link w:val="Heading9Char"/>
    <w:qFormat/>
    <w:rsid w:val="00AA324E"/>
    <w:pPr>
      <w:numPr>
        <w:ilvl w:val="8"/>
        <w:numId w:val="2"/>
      </w:numPr>
      <w:tabs>
        <w:tab w:val="clear" w:pos="720"/>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544F"/>
    <w:rPr>
      <w:rFonts w:ascii="Arial" w:eastAsia="Times New Roman" w:hAnsi="Arial" w:cs="Times New Roman"/>
      <w:b/>
      <w:caps/>
      <w:szCs w:val="20"/>
      <w:u w:val="single"/>
      <w:lang w:eastAsia="en-CA"/>
    </w:rPr>
  </w:style>
  <w:style w:type="character" w:customStyle="1" w:styleId="Heading2Char">
    <w:name w:val="Heading 2 Char"/>
    <w:basedOn w:val="DefaultParagraphFont"/>
    <w:link w:val="Heading2"/>
    <w:rsid w:val="00AA324E"/>
    <w:rPr>
      <w:rFonts w:ascii="Arial" w:eastAsia="Times New Roman" w:hAnsi="Arial" w:cs="Times New Roman"/>
      <w:b/>
      <w:szCs w:val="20"/>
      <w:u w:val="single"/>
      <w:lang w:val="en-US" w:eastAsia="en-CA"/>
    </w:rPr>
  </w:style>
  <w:style w:type="character" w:customStyle="1" w:styleId="Heading3Char">
    <w:name w:val="Heading 3 Char"/>
    <w:basedOn w:val="DefaultParagraphFont"/>
    <w:link w:val="Heading3"/>
    <w:rsid w:val="00AA324E"/>
    <w:rPr>
      <w:rFonts w:ascii="Arial" w:eastAsia="Times New Roman" w:hAnsi="Arial" w:cs="Times New Roman"/>
      <w:b/>
      <w:szCs w:val="20"/>
      <w:u w:val="single"/>
      <w:lang w:val="en-US" w:eastAsia="en-CA"/>
    </w:rPr>
  </w:style>
  <w:style w:type="character" w:customStyle="1" w:styleId="Heading4Char">
    <w:name w:val="Heading 4 Char"/>
    <w:basedOn w:val="DefaultParagraphFont"/>
    <w:link w:val="Heading4"/>
    <w:rsid w:val="00AA324E"/>
    <w:rPr>
      <w:rFonts w:ascii="Arial" w:eastAsia="Times New Roman" w:hAnsi="Arial" w:cs="Times New Roman"/>
      <w:b/>
      <w:szCs w:val="20"/>
      <w:u w:val="single"/>
      <w:lang w:val="en-US" w:eastAsia="en-CA"/>
    </w:rPr>
  </w:style>
  <w:style w:type="character" w:customStyle="1" w:styleId="Heading5Char">
    <w:name w:val="Heading 5 Char"/>
    <w:basedOn w:val="DefaultParagraphFont"/>
    <w:link w:val="Heading5"/>
    <w:rsid w:val="00AA324E"/>
    <w:rPr>
      <w:rFonts w:ascii="Arial" w:eastAsia="Times New Roman" w:hAnsi="Arial" w:cs="Times New Roman"/>
      <w:b/>
      <w:szCs w:val="20"/>
      <w:u w:val="single"/>
      <w:lang w:val="en-US" w:eastAsia="en-CA"/>
    </w:rPr>
  </w:style>
  <w:style w:type="character" w:customStyle="1" w:styleId="Heading6Char">
    <w:name w:val="Heading 6 Char"/>
    <w:basedOn w:val="DefaultParagraphFont"/>
    <w:link w:val="Heading6"/>
    <w:rsid w:val="00AA324E"/>
    <w:rPr>
      <w:rFonts w:ascii="Times New Roman" w:eastAsia="Times New Roman" w:hAnsi="Times New Roman" w:cs="Times New Roman"/>
      <w:i/>
      <w:szCs w:val="20"/>
      <w:lang w:val="en-US" w:eastAsia="en-CA"/>
    </w:rPr>
  </w:style>
  <w:style w:type="character" w:customStyle="1" w:styleId="Heading7Char">
    <w:name w:val="Heading 7 Char"/>
    <w:basedOn w:val="DefaultParagraphFont"/>
    <w:link w:val="Heading7"/>
    <w:rsid w:val="00AA324E"/>
    <w:rPr>
      <w:rFonts w:ascii="Arial" w:eastAsia="Times New Roman" w:hAnsi="Arial" w:cs="Times New Roman"/>
      <w:sz w:val="20"/>
      <w:szCs w:val="20"/>
      <w:lang w:val="en-US" w:eastAsia="en-CA"/>
    </w:rPr>
  </w:style>
  <w:style w:type="character" w:customStyle="1" w:styleId="Heading8Char">
    <w:name w:val="Heading 8 Char"/>
    <w:basedOn w:val="DefaultParagraphFont"/>
    <w:link w:val="Heading8"/>
    <w:rsid w:val="00AA324E"/>
    <w:rPr>
      <w:rFonts w:ascii="Arial" w:eastAsia="Times New Roman" w:hAnsi="Arial" w:cs="Times New Roman"/>
      <w:i/>
      <w:sz w:val="20"/>
      <w:szCs w:val="20"/>
      <w:lang w:val="en-US" w:eastAsia="en-CA"/>
    </w:rPr>
  </w:style>
  <w:style w:type="character" w:customStyle="1" w:styleId="Heading9Char">
    <w:name w:val="Heading 9 Char"/>
    <w:basedOn w:val="DefaultParagraphFont"/>
    <w:link w:val="Heading9"/>
    <w:rsid w:val="00AA324E"/>
    <w:rPr>
      <w:rFonts w:ascii="Arial" w:eastAsia="Times New Roman" w:hAnsi="Arial" w:cs="Times New Roman"/>
      <w:b/>
      <w:i/>
      <w:sz w:val="18"/>
      <w:szCs w:val="20"/>
      <w:lang w:val="en-US" w:eastAsia="en-CA"/>
    </w:rPr>
  </w:style>
  <w:style w:type="paragraph" w:styleId="Header">
    <w:name w:val="header"/>
    <w:basedOn w:val="Normal"/>
    <w:link w:val="HeaderChar"/>
    <w:uiPriority w:val="99"/>
    <w:unhideWhenUsed/>
    <w:rsid w:val="00AA324E"/>
    <w:pPr>
      <w:tabs>
        <w:tab w:val="clear" w:pos="720"/>
        <w:tab w:val="center" w:pos="4680"/>
        <w:tab w:val="right" w:pos="9360"/>
      </w:tabs>
    </w:pPr>
  </w:style>
  <w:style w:type="character" w:customStyle="1" w:styleId="HeaderChar">
    <w:name w:val="Header Char"/>
    <w:basedOn w:val="DefaultParagraphFont"/>
    <w:link w:val="Header"/>
    <w:uiPriority w:val="99"/>
    <w:rsid w:val="00AA324E"/>
    <w:rPr>
      <w:rFonts w:ascii="Arial" w:eastAsia="Times New Roman" w:hAnsi="Arial" w:cs="Times New Roman"/>
      <w:szCs w:val="20"/>
      <w:lang w:val="en-US" w:eastAsia="en-CA"/>
    </w:rPr>
  </w:style>
  <w:style w:type="paragraph" w:styleId="Footer">
    <w:name w:val="footer"/>
    <w:basedOn w:val="Normal"/>
    <w:link w:val="FooterChar"/>
    <w:unhideWhenUsed/>
    <w:rsid w:val="00AA324E"/>
    <w:pPr>
      <w:tabs>
        <w:tab w:val="clear" w:pos="720"/>
        <w:tab w:val="center" w:pos="4680"/>
        <w:tab w:val="right" w:pos="9360"/>
      </w:tabs>
    </w:pPr>
  </w:style>
  <w:style w:type="character" w:customStyle="1" w:styleId="FooterChar">
    <w:name w:val="Footer Char"/>
    <w:basedOn w:val="DefaultParagraphFont"/>
    <w:link w:val="Footer"/>
    <w:rsid w:val="00AA324E"/>
    <w:rPr>
      <w:rFonts w:ascii="Arial" w:eastAsia="Times New Roman" w:hAnsi="Arial" w:cs="Times New Roman"/>
      <w:szCs w:val="20"/>
      <w:lang w:val="en-US" w:eastAsia="en-CA"/>
    </w:rPr>
  </w:style>
  <w:style w:type="paragraph" w:styleId="TOC1">
    <w:name w:val="toc 1"/>
    <w:basedOn w:val="Normal"/>
    <w:next w:val="Normal"/>
    <w:autoRedefine/>
    <w:uiPriority w:val="39"/>
    <w:unhideWhenUsed/>
    <w:rsid w:val="00366057"/>
    <w:pPr>
      <w:tabs>
        <w:tab w:val="clear" w:pos="720"/>
      </w:tabs>
      <w:spacing w:after="100"/>
    </w:pPr>
  </w:style>
  <w:style w:type="paragraph" w:styleId="TOC2">
    <w:name w:val="toc 2"/>
    <w:basedOn w:val="Normal"/>
    <w:next w:val="Normal"/>
    <w:autoRedefine/>
    <w:uiPriority w:val="39"/>
    <w:unhideWhenUsed/>
    <w:rsid w:val="00366057"/>
    <w:pPr>
      <w:tabs>
        <w:tab w:val="clear" w:pos="720"/>
        <w:tab w:val="right" w:leader="dot" w:pos="9350"/>
      </w:tabs>
      <w:spacing w:after="100"/>
      <w:ind w:left="1440" w:hanging="720"/>
    </w:pPr>
  </w:style>
  <w:style w:type="paragraph" w:styleId="TOC3">
    <w:name w:val="toc 3"/>
    <w:basedOn w:val="Normal"/>
    <w:next w:val="Normal"/>
    <w:autoRedefine/>
    <w:uiPriority w:val="39"/>
    <w:unhideWhenUsed/>
    <w:rsid w:val="00366057"/>
    <w:pPr>
      <w:tabs>
        <w:tab w:val="clear" w:pos="720"/>
        <w:tab w:val="right" w:leader="dot" w:pos="9350"/>
      </w:tabs>
      <w:spacing w:after="100"/>
      <w:ind w:left="1440" w:hanging="720"/>
    </w:pPr>
  </w:style>
  <w:style w:type="character" w:styleId="Hyperlink">
    <w:name w:val="Hyperlink"/>
    <w:basedOn w:val="DefaultParagraphFont"/>
    <w:uiPriority w:val="99"/>
    <w:unhideWhenUsed/>
    <w:rsid w:val="00366057"/>
    <w:rPr>
      <w:color w:val="0563C1" w:themeColor="hyperlink"/>
      <w:u w:val="single"/>
    </w:rPr>
  </w:style>
  <w:style w:type="paragraph" w:styleId="FootnoteText">
    <w:name w:val="footnote text"/>
    <w:aliases w:val="ALTS FOOTNOTE,fn,Footnote Text 2,Footnote text,FOOTNOTE,Footnote Text Char1,Footnote Text Char Char1,ft Char Char,Footnote Text Char3 Char Char,Footnote Text Char2 Char Char Char,Footnote Text Char Char2 Char Char Char,ft Char,ft Char1,f"/>
    <w:basedOn w:val="Normal"/>
    <w:link w:val="FootnoteTextChar"/>
    <w:uiPriority w:val="99"/>
    <w:unhideWhenUsed/>
    <w:qFormat/>
    <w:rsid w:val="00AA3377"/>
    <w:pPr>
      <w:ind w:left="360" w:hanging="360"/>
      <w:jc w:val="both"/>
    </w:pPr>
    <w:rPr>
      <w:sz w:val="18"/>
    </w:rPr>
  </w:style>
  <w:style w:type="character" w:customStyle="1" w:styleId="FootnoteTextChar">
    <w:name w:val="Footnote Text Char"/>
    <w:aliases w:val="ALTS FOOTNOTE Char,fn Char,Footnote Text 2 Char,Footnote text Char,FOOTNOTE Char,Footnote Text Char1 Char,Footnote Text Char Char1 Char,ft Char Char Char,Footnote Text Char3 Char Char Char,Footnote Text Char2 Char Char Char Char"/>
    <w:basedOn w:val="DefaultParagraphFont"/>
    <w:link w:val="FootnoteText"/>
    <w:uiPriority w:val="99"/>
    <w:rsid w:val="00AA3377"/>
    <w:rPr>
      <w:rFonts w:ascii="Arial" w:eastAsia="Times New Roman" w:hAnsi="Arial" w:cs="Times New Roman"/>
      <w:sz w:val="18"/>
      <w:szCs w:val="20"/>
      <w:lang w:eastAsia="en-CA"/>
    </w:rPr>
  </w:style>
  <w:style w:type="character" w:styleId="FootnoteReference">
    <w:name w:val="footnote reference"/>
    <w:aliases w:val="fr,o,(NECG) Footnote Reference,Style 6,Style 20,Style 12,Appel note de bas de p,Style 124,Style 3,Style 13,Style 17,FR,Footnote Reference/,callout,Style 30,FC,Style 52,Style 34,Style 28,Style 25,Style 33,Style 38,Sty,Ref,Style 18,A"/>
    <w:basedOn w:val="DefaultParagraphFont"/>
    <w:uiPriority w:val="99"/>
    <w:unhideWhenUsed/>
    <w:qFormat/>
    <w:rsid w:val="00AA3377"/>
    <w:rPr>
      <w:vertAlign w:val="superscript"/>
    </w:rPr>
  </w:style>
  <w:style w:type="paragraph" w:styleId="ListParagraph">
    <w:name w:val="List Paragraph"/>
    <w:basedOn w:val="Normal"/>
    <w:uiPriority w:val="34"/>
    <w:qFormat/>
    <w:rsid w:val="00AA3377"/>
    <w:pPr>
      <w:widowControl/>
      <w:tabs>
        <w:tab w:val="clear" w:pos="720"/>
      </w:tabs>
      <w:spacing w:line="360" w:lineRule="auto"/>
      <w:ind w:left="720" w:hanging="576"/>
    </w:pPr>
    <w:rPr>
      <w:rFonts w:cs="Arial"/>
      <w:szCs w:val="22"/>
    </w:rPr>
  </w:style>
  <w:style w:type="paragraph" w:styleId="Revision">
    <w:name w:val="Revision"/>
    <w:hidden/>
    <w:uiPriority w:val="99"/>
    <w:semiHidden/>
    <w:rsid w:val="00CC5C61"/>
    <w:pPr>
      <w:spacing w:after="0" w:line="240" w:lineRule="auto"/>
    </w:pPr>
    <w:rPr>
      <w:rFonts w:ascii="Arial" w:eastAsia="Times New Roman" w:hAnsi="Arial" w:cs="Times New Roman"/>
      <w:szCs w:val="20"/>
      <w:lang w:eastAsia="en-CA"/>
    </w:rPr>
  </w:style>
  <w:style w:type="character" w:styleId="UnresolvedMention">
    <w:name w:val="Unresolved Mention"/>
    <w:basedOn w:val="DefaultParagraphFont"/>
    <w:uiPriority w:val="99"/>
    <w:semiHidden/>
    <w:unhideWhenUsed/>
    <w:rsid w:val="00A849C2"/>
    <w:rPr>
      <w:color w:val="605E5C"/>
      <w:shd w:val="clear" w:color="auto" w:fill="E1DFDD"/>
    </w:rPr>
  </w:style>
  <w:style w:type="character" w:styleId="FollowedHyperlink">
    <w:name w:val="FollowedHyperlink"/>
    <w:basedOn w:val="DefaultParagraphFont"/>
    <w:uiPriority w:val="99"/>
    <w:semiHidden/>
    <w:unhideWhenUsed/>
    <w:rsid w:val="00965AC0"/>
    <w:rPr>
      <w:color w:val="954F72" w:themeColor="followedHyperlink"/>
      <w:u w:val="single"/>
    </w:rPr>
  </w:style>
  <w:style w:type="character" w:styleId="CommentReference">
    <w:name w:val="annotation reference"/>
    <w:basedOn w:val="DefaultParagraphFont"/>
    <w:uiPriority w:val="99"/>
    <w:semiHidden/>
    <w:unhideWhenUsed/>
    <w:rsid w:val="00573F8E"/>
    <w:rPr>
      <w:sz w:val="16"/>
      <w:szCs w:val="16"/>
    </w:rPr>
  </w:style>
  <w:style w:type="paragraph" w:styleId="CommentText">
    <w:name w:val="annotation text"/>
    <w:basedOn w:val="Normal"/>
    <w:link w:val="CommentTextChar"/>
    <w:uiPriority w:val="99"/>
    <w:unhideWhenUsed/>
    <w:rsid w:val="00573F8E"/>
    <w:rPr>
      <w:sz w:val="20"/>
    </w:rPr>
  </w:style>
  <w:style w:type="character" w:customStyle="1" w:styleId="CommentTextChar">
    <w:name w:val="Comment Text Char"/>
    <w:basedOn w:val="DefaultParagraphFont"/>
    <w:link w:val="CommentText"/>
    <w:uiPriority w:val="99"/>
    <w:rsid w:val="00573F8E"/>
    <w:rPr>
      <w:rFonts w:ascii="Arial" w:eastAsia="Times New Roman" w:hAnsi="Arial" w:cs="Times New Roman"/>
      <w:sz w:val="20"/>
      <w:szCs w:val="20"/>
      <w:lang w:eastAsia="en-CA"/>
    </w:rPr>
  </w:style>
  <w:style w:type="paragraph" w:styleId="CommentSubject">
    <w:name w:val="annotation subject"/>
    <w:basedOn w:val="CommentText"/>
    <w:next w:val="CommentText"/>
    <w:link w:val="CommentSubjectChar"/>
    <w:uiPriority w:val="99"/>
    <w:semiHidden/>
    <w:unhideWhenUsed/>
    <w:rsid w:val="00573F8E"/>
    <w:rPr>
      <w:b/>
      <w:bCs/>
    </w:rPr>
  </w:style>
  <w:style w:type="character" w:customStyle="1" w:styleId="CommentSubjectChar">
    <w:name w:val="Comment Subject Char"/>
    <w:basedOn w:val="CommentTextChar"/>
    <w:link w:val="CommentSubject"/>
    <w:uiPriority w:val="99"/>
    <w:semiHidden/>
    <w:rsid w:val="00573F8E"/>
    <w:rPr>
      <w:rFonts w:ascii="Arial" w:eastAsia="Times New Roman" w:hAnsi="Arial" w:cs="Times New Roman"/>
      <w:b/>
      <w:bCs/>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gazette.gc.ca/rp-pr/p1/2023/2023-08-05/html/notice-avis-eng.html" TargetMode="External"/><Relationship Id="rId2" Type="http://schemas.openxmlformats.org/officeDocument/2006/relationships/hyperlink" Target="https://ised-isde.canada.ca/site/spectrum-management-telecommunications/en/learn-more/key-documents/consultations/canadian-table-frequency-allocations-sf10759" TargetMode="External"/><Relationship Id="rId1" Type="http://schemas.openxmlformats.org/officeDocument/2006/relationships/hyperlink" Target="https://www.budget.senate.gov/imo/media/doc/the_one_big_beautiful_bill_ac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E821-F655-44DA-AEDA-F71C80EA4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4572</Words>
  <Characters>25650</Characters>
  <Application>Microsoft Office Word</Application>
  <DocSecurity>0</DocSecurity>
  <Lines>458</Lines>
  <Paragraphs>96</Paragraphs>
  <ScaleCrop>false</ScaleCrop>
  <Company/>
  <LinksUpToDate>false</LinksUpToDate>
  <CharactersWithSpaces>30126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2026-04-28T18:33:00Z</dcterms:created>
  <dcterms:modified xsi:type="dcterms:W3CDTF">2026-04-28T21:49:00Z</dcterms:modified>
</cp:coreProperties>
</file>